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hAnsi="华文中宋" w:eastAsia="华文中宋"/>
          <w:b/>
          <w:sz w:val="48"/>
          <w:szCs w:val="48"/>
        </w:rPr>
      </w:pPr>
      <w:r>
        <w:rPr>
          <w:rFonts w:hAnsi="华文中宋" w:eastAsia="华文中宋"/>
          <w:b/>
          <w:sz w:val="48"/>
          <w:szCs w:val="48"/>
        </w:rPr>
        <w:t>证券行业促进乡村振兴公益行动</w:t>
      </w:r>
    </w:p>
    <w:p>
      <w:pPr>
        <w:jc w:val="center"/>
        <w:rPr>
          <w:rFonts w:hint="eastAsia" w:hAnsi="华文中宋" w:eastAsia="华文中宋"/>
          <w:b/>
          <w:sz w:val="48"/>
          <w:szCs w:val="48"/>
        </w:rPr>
      </w:pPr>
      <w:r>
        <w:rPr>
          <w:rFonts w:eastAsia="华文中宋"/>
          <w:b/>
          <w:sz w:val="48"/>
          <w:szCs w:val="48"/>
        </w:rPr>
        <w:t>20</w:t>
      </w:r>
      <w:r>
        <w:rPr>
          <w:rFonts w:hint="eastAsia" w:eastAsia="华文中宋"/>
          <w:b/>
          <w:sz w:val="48"/>
          <w:szCs w:val="48"/>
        </w:rPr>
        <w:t>22</w:t>
      </w:r>
      <w:r>
        <w:rPr>
          <w:rFonts w:hAnsi="华文中宋" w:eastAsia="华文中宋"/>
          <w:b/>
          <w:sz w:val="48"/>
          <w:szCs w:val="48"/>
        </w:rPr>
        <w:t>年</w:t>
      </w:r>
      <w:r>
        <w:rPr>
          <w:rFonts w:hint="eastAsia" w:hAnsi="华文中宋" w:eastAsia="华文中宋"/>
          <w:b/>
          <w:sz w:val="48"/>
          <w:szCs w:val="48"/>
        </w:rPr>
        <w:t>县域经济调研报告</w:t>
      </w:r>
    </w:p>
    <w:p>
      <w:pPr>
        <w:rPr>
          <w:rFonts w:hint="eastAsia" w:ascii="宋体" w:hAnsi="宋体"/>
          <w:sz w:val="32"/>
        </w:rPr>
      </w:pPr>
    </w:p>
    <w:p>
      <w:pPr>
        <w:ind w:firstLine="964" w:firstLineChars="300"/>
        <w:rPr>
          <w:rFonts w:hint="eastAsia" w:ascii="仿宋_GB2312" w:hAnsi="宋体" w:eastAsia="仿宋_GB2312"/>
          <w:b/>
          <w:sz w:val="32"/>
          <w:u w:val="single"/>
        </w:rPr>
      </w:pPr>
      <w:r>
        <w:rPr>
          <w:rFonts w:hint="eastAsia" w:ascii="仿宋_GB2312" w:hAnsi="宋体" w:eastAsia="仿宋_GB2312"/>
          <w:b/>
          <w:sz w:val="32"/>
        </w:rPr>
        <w:t>报告名称：</w:t>
      </w:r>
      <w:r>
        <w:rPr>
          <w:rFonts w:hint="eastAsia" w:ascii="仿宋_GB2312" w:hAnsi="宋体" w:eastAsia="仿宋_GB2312"/>
          <w:sz w:val="32"/>
          <w:u w:val="single"/>
          <w:lang w:val="en-US" w:eastAsia="zh-CN"/>
        </w:rPr>
        <w:t>中泰证券助力县域经济乡村振兴发展研究</w:t>
      </w:r>
    </w:p>
    <w:p>
      <w:pPr>
        <w:rPr>
          <w:rFonts w:hint="eastAsia" w:ascii="仿宋_GB2312" w:hAnsi="宋体" w:eastAsia="仿宋_GB2312"/>
          <w:sz w:val="32"/>
        </w:rPr>
      </w:pPr>
    </w:p>
    <w:p>
      <w:pPr>
        <w:ind w:firstLine="964" w:firstLineChars="300"/>
        <w:rPr>
          <w:rFonts w:hint="eastAsia" w:ascii="仿宋_GB2312" w:hAnsi="宋体" w:eastAsia="仿宋_GB2312"/>
          <w:sz w:val="32"/>
          <w:u w:val="single"/>
        </w:rPr>
      </w:pPr>
      <w:r>
        <w:rPr>
          <w:rFonts w:hint="eastAsia" w:ascii="仿宋_GB2312" w:hAnsi="宋体" w:eastAsia="仿宋_GB2312"/>
          <w:b/>
          <w:sz w:val="32"/>
        </w:rPr>
        <w:t>调研县域:</w:t>
      </w:r>
      <w:r>
        <w:rPr>
          <w:rFonts w:hint="eastAsia" w:ascii="仿宋_GB2312" w:hAnsi="宋体" w:eastAsia="仿宋_GB2312"/>
          <w:sz w:val="32"/>
        </w:rPr>
        <w:t xml:space="preserve"> </w:t>
      </w:r>
      <w:r>
        <w:rPr>
          <w:rFonts w:ascii="仿宋_GB2312" w:hAnsi="宋体" w:eastAsia="仿宋_GB2312"/>
          <w:sz w:val="32"/>
          <w:u w:val="single"/>
        </w:rPr>
        <w:t xml:space="preserve">     </w:t>
      </w:r>
      <w:r>
        <w:rPr>
          <w:rFonts w:hint="eastAsia" w:ascii="仿宋_GB2312" w:hAnsi="宋体" w:eastAsia="仿宋_GB2312"/>
          <w:sz w:val="32"/>
          <w:u w:val="single"/>
          <w:lang w:val="en-US" w:eastAsia="zh-CN"/>
        </w:rPr>
        <w:t>陕西</w:t>
      </w:r>
      <w:r>
        <w:rPr>
          <w:rFonts w:ascii="仿宋_GB2312" w:hAnsi="宋体" w:eastAsia="仿宋_GB2312"/>
          <w:sz w:val="32"/>
          <w:u w:val="single"/>
        </w:rPr>
        <w:t>省</w:t>
      </w:r>
      <w:r>
        <w:rPr>
          <w:rFonts w:hint="eastAsia" w:ascii="仿宋_GB2312" w:hAnsi="宋体" w:eastAsia="仿宋_GB2312"/>
          <w:sz w:val="32"/>
          <w:u w:val="single"/>
          <w:lang w:val="en-US" w:eastAsia="zh-CN"/>
        </w:rPr>
        <w:t>柞水</w:t>
      </w:r>
      <w:r>
        <w:rPr>
          <w:rFonts w:ascii="仿宋_GB2312" w:hAnsi="宋体" w:eastAsia="仿宋_GB2312"/>
          <w:sz w:val="32"/>
          <w:u w:val="single"/>
        </w:rPr>
        <w:t xml:space="preserve">县           </w:t>
      </w:r>
      <w:r>
        <w:rPr>
          <w:rFonts w:hint="eastAsia" w:ascii="仿宋_GB2312" w:hAnsi="宋体" w:eastAsia="仿宋_GB2312"/>
          <w:sz w:val="32"/>
          <w:u w:val="single"/>
          <w:lang w:val="en-US" w:eastAsia="zh-CN"/>
        </w:rPr>
        <w:t xml:space="preserve"> </w:t>
      </w:r>
      <w:r>
        <w:rPr>
          <w:rFonts w:ascii="仿宋_GB2312" w:hAnsi="宋体" w:eastAsia="仿宋_GB2312"/>
          <w:sz w:val="32"/>
          <w:u w:val="single"/>
        </w:rPr>
        <w:t xml:space="preserve">    </w:t>
      </w:r>
    </w:p>
    <w:p>
      <w:pPr>
        <w:ind w:firstLine="1449" w:firstLineChars="453"/>
        <w:rPr>
          <w:rFonts w:hint="eastAsia" w:ascii="仿宋_GB2312" w:hAnsi="宋体" w:eastAsia="仿宋_GB2312"/>
          <w:sz w:val="32"/>
          <w:u w:val="single"/>
        </w:rPr>
      </w:pPr>
    </w:p>
    <w:p>
      <w:pPr>
        <w:ind w:firstLine="964" w:firstLineChars="300"/>
        <w:rPr>
          <w:rFonts w:hint="eastAsia" w:ascii="仿宋_GB2312" w:hAnsi="宋体" w:eastAsia="仿宋_GB2312"/>
          <w:b/>
          <w:sz w:val="32"/>
          <w:u w:val="single"/>
        </w:rPr>
      </w:pPr>
      <w:r>
        <w:rPr>
          <w:rFonts w:hint="eastAsia" w:ascii="仿宋_GB2312" w:hAnsi="宋体" w:eastAsia="仿宋_GB2312"/>
          <w:b/>
          <w:sz w:val="32"/>
        </w:rPr>
        <w:t xml:space="preserve">牵头调研单位: </w:t>
      </w:r>
      <w:r>
        <w:rPr>
          <w:rFonts w:ascii="仿宋_GB2312" w:hAnsi="宋体" w:eastAsia="仿宋_GB2312"/>
          <w:b/>
          <w:sz w:val="32"/>
          <w:u w:val="single"/>
        </w:rPr>
        <w:t xml:space="preserve">   </w:t>
      </w:r>
      <w:r>
        <w:rPr>
          <w:rFonts w:hint="eastAsia" w:ascii="仿宋_GB2312" w:hAnsi="宋体" w:eastAsia="仿宋_GB2312"/>
          <w:sz w:val="32"/>
          <w:u w:val="single"/>
          <w:lang w:val="en-US" w:eastAsia="zh-CN"/>
        </w:rPr>
        <w:t xml:space="preserve">中泰证券股份有限公司 </w:t>
      </w:r>
      <w:r>
        <w:rPr>
          <w:rFonts w:ascii="仿宋_GB2312" w:hAnsi="宋体" w:eastAsia="仿宋_GB2312"/>
          <w:b/>
          <w:sz w:val="32"/>
          <w:u w:val="single"/>
        </w:rPr>
        <w:t xml:space="preserve"> </w:t>
      </w:r>
      <w:r>
        <w:rPr>
          <w:rFonts w:hint="eastAsia" w:ascii="仿宋_GB2312" w:hAnsi="宋体" w:eastAsia="仿宋_GB2312"/>
          <w:b/>
          <w:sz w:val="32"/>
          <w:u w:val="single"/>
        </w:rPr>
        <w:t xml:space="preserve">    </w:t>
      </w:r>
    </w:p>
    <w:p>
      <w:pPr>
        <w:rPr>
          <w:rFonts w:hint="eastAsia" w:ascii="仿宋_GB2312" w:hAnsi="宋体" w:eastAsia="仿宋_GB2312"/>
          <w:sz w:val="32"/>
          <w:u w:val="single"/>
        </w:rPr>
      </w:pPr>
    </w:p>
    <w:p>
      <w:pPr>
        <w:ind w:firstLine="964" w:firstLineChars="300"/>
        <w:rPr>
          <w:rFonts w:hint="eastAsia" w:ascii="仿宋_GB2312" w:hAnsi="宋体" w:eastAsia="仿宋_GB2312"/>
          <w:b/>
          <w:sz w:val="32"/>
          <w:u w:val="single"/>
        </w:rPr>
      </w:pPr>
      <w:r>
        <w:rPr>
          <w:rFonts w:hint="eastAsia" w:ascii="仿宋_GB2312" w:hAnsi="宋体" w:eastAsia="仿宋_GB2312"/>
          <w:b/>
          <w:sz w:val="32"/>
        </w:rPr>
        <w:t xml:space="preserve">联合调研单位: </w:t>
      </w:r>
      <w:r>
        <w:rPr>
          <w:rFonts w:ascii="仿宋_GB2312" w:hAnsi="宋体" w:eastAsia="仿宋_GB2312"/>
          <w:b/>
          <w:sz w:val="32"/>
          <w:u w:val="single"/>
        </w:rPr>
        <w:t xml:space="preserve">           </w:t>
      </w:r>
      <w:r>
        <w:rPr>
          <w:rFonts w:hint="eastAsia" w:ascii="仿宋_GB2312" w:hAnsi="宋体" w:eastAsia="仿宋_GB2312"/>
          <w:sz w:val="32"/>
          <w:u w:val="single"/>
          <w:lang w:val="en-US" w:eastAsia="zh-CN"/>
        </w:rPr>
        <w:t xml:space="preserve">      </w:t>
      </w:r>
      <w:r>
        <w:rPr>
          <w:rFonts w:ascii="仿宋_GB2312" w:hAnsi="宋体" w:eastAsia="仿宋_GB2312"/>
          <w:b/>
          <w:sz w:val="32"/>
          <w:u w:val="single"/>
        </w:rPr>
        <w:t xml:space="preserve">    </w:t>
      </w:r>
      <w:r>
        <w:rPr>
          <w:rFonts w:hint="eastAsia" w:ascii="仿宋_GB2312" w:hAnsi="宋体" w:eastAsia="仿宋_GB2312"/>
          <w:b/>
          <w:sz w:val="32"/>
          <w:u w:val="single"/>
        </w:rPr>
        <w:t xml:space="preserve">        </w:t>
      </w:r>
    </w:p>
    <w:p>
      <w:pPr>
        <w:ind w:firstLine="1449" w:firstLineChars="453"/>
        <w:rPr>
          <w:rFonts w:hint="eastAsia" w:ascii="仿宋_GB2312" w:hAnsi="宋体" w:eastAsia="仿宋_GB2312"/>
          <w:sz w:val="32"/>
        </w:rPr>
      </w:pPr>
    </w:p>
    <w:p>
      <w:pPr>
        <w:ind w:firstLine="964" w:firstLineChars="300"/>
        <w:rPr>
          <w:rFonts w:hint="eastAsia" w:ascii="仿宋_GB2312" w:hAnsi="宋体" w:eastAsia="仿宋_GB2312"/>
          <w:b/>
          <w:sz w:val="32"/>
          <w:u w:val="single"/>
        </w:rPr>
      </w:pPr>
      <w:r>
        <w:rPr>
          <w:rFonts w:hint="eastAsia" w:ascii="仿宋_GB2312" w:hAnsi="宋体" w:eastAsia="仿宋_GB2312"/>
          <w:b/>
          <w:sz w:val="32"/>
        </w:rPr>
        <w:t>调研组负责人:</w:t>
      </w:r>
      <w:r>
        <w:rPr>
          <w:rFonts w:ascii="仿宋_GB2312" w:hAnsi="宋体" w:eastAsia="仿宋_GB2312"/>
          <w:b/>
          <w:sz w:val="32"/>
        </w:rPr>
        <w:t xml:space="preserve"> </w:t>
      </w:r>
      <w:r>
        <w:rPr>
          <w:rFonts w:ascii="仿宋_GB2312" w:hAnsi="宋体" w:eastAsia="仿宋_GB2312"/>
          <w:b/>
          <w:sz w:val="32"/>
          <w:u w:val="single"/>
        </w:rPr>
        <w:t xml:space="preserve">      </w:t>
      </w:r>
      <w:r>
        <w:rPr>
          <w:rFonts w:hint="eastAsia" w:ascii="仿宋_GB2312" w:hAnsi="宋体" w:eastAsia="仿宋_GB2312"/>
          <w:sz w:val="32"/>
          <w:u w:val="single"/>
          <w:lang w:val="en-US" w:eastAsia="zh-CN"/>
        </w:rPr>
        <w:t xml:space="preserve">   郭永利    </w:t>
      </w:r>
      <w:r>
        <w:rPr>
          <w:rFonts w:ascii="仿宋_GB2312" w:hAnsi="宋体" w:eastAsia="仿宋_GB2312"/>
          <w:b/>
          <w:sz w:val="32"/>
          <w:u w:val="single"/>
        </w:rPr>
        <w:t xml:space="preserve">      </w:t>
      </w:r>
      <w:r>
        <w:rPr>
          <w:rFonts w:hint="eastAsia" w:ascii="仿宋_GB2312" w:hAnsi="宋体" w:eastAsia="仿宋_GB2312"/>
          <w:b/>
          <w:sz w:val="32"/>
          <w:u w:val="single"/>
          <w:lang w:val="en-US" w:eastAsia="zh-CN"/>
        </w:rPr>
        <w:t xml:space="preserve">  </w:t>
      </w:r>
      <w:r>
        <w:rPr>
          <w:rFonts w:ascii="仿宋_GB2312" w:hAnsi="宋体" w:eastAsia="仿宋_GB2312"/>
          <w:b/>
          <w:sz w:val="32"/>
          <w:u w:val="single"/>
        </w:rPr>
        <w:t xml:space="preserve"> </w:t>
      </w:r>
      <w:r>
        <w:rPr>
          <w:rFonts w:hint="eastAsia" w:ascii="仿宋_GB2312" w:hAnsi="宋体" w:eastAsia="仿宋_GB2312"/>
          <w:b/>
          <w:sz w:val="32"/>
          <w:u w:val="single"/>
        </w:rPr>
        <w:t xml:space="preserve"> </w:t>
      </w:r>
    </w:p>
    <w:p>
      <w:pPr>
        <w:rPr>
          <w:rFonts w:hint="eastAsia" w:ascii="仿宋_GB2312" w:hAnsi="宋体" w:eastAsia="仿宋_GB2312"/>
          <w:sz w:val="32"/>
          <w:u w:val="single"/>
        </w:rPr>
      </w:pPr>
    </w:p>
    <w:p>
      <w:pPr>
        <w:ind w:firstLine="964" w:firstLineChars="300"/>
        <w:rPr>
          <w:rFonts w:hint="eastAsia" w:ascii="仿宋_GB2312" w:hAnsi="宋体" w:eastAsia="仿宋_GB2312"/>
          <w:b/>
          <w:sz w:val="32"/>
          <w:u w:val="single"/>
        </w:rPr>
      </w:pPr>
      <w:r>
        <w:rPr>
          <w:rFonts w:hint="eastAsia" w:ascii="仿宋_GB2312" w:hAnsi="宋体" w:eastAsia="仿宋_GB2312"/>
          <w:b/>
          <w:sz w:val="32"/>
        </w:rPr>
        <w:t xml:space="preserve">调研组成员: </w:t>
      </w:r>
      <w:r>
        <w:rPr>
          <w:rFonts w:hint="eastAsia" w:ascii="仿宋_GB2312" w:hAnsi="宋体" w:eastAsia="仿宋_GB2312"/>
          <w:b/>
          <w:sz w:val="32"/>
          <w:u w:val="single"/>
        </w:rPr>
        <w:t xml:space="preserve"> </w:t>
      </w:r>
      <w:r>
        <w:rPr>
          <w:rFonts w:hint="eastAsia" w:ascii="仿宋_GB2312" w:hAnsi="宋体" w:eastAsia="仿宋_GB2312"/>
          <w:sz w:val="32"/>
          <w:u w:val="single"/>
          <w:lang w:val="en-US" w:eastAsia="zh-CN"/>
        </w:rPr>
        <w:t xml:space="preserve">朱丽华、张翠敏、王书忠 </w:t>
      </w:r>
      <w:r>
        <w:rPr>
          <w:rFonts w:hint="eastAsia" w:ascii="仿宋_GB2312" w:hAnsi="宋体" w:eastAsia="仿宋_GB2312"/>
          <w:b/>
          <w:sz w:val="32"/>
          <w:u w:val="single"/>
        </w:rPr>
        <w:t xml:space="preserve"> </w:t>
      </w:r>
      <w:r>
        <w:rPr>
          <w:rFonts w:hint="eastAsia" w:ascii="仿宋_GB2312" w:hAnsi="宋体" w:eastAsia="仿宋_GB2312"/>
          <w:b/>
          <w:sz w:val="32"/>
          <w:u w:val="single"/>
          <w:lang w:val="en-US" w:eastAsia="zh-CN"/>
        </w:rPr>
        <w:t xml:space="preserve"> </w:t>
      </w:r>
      <w:r>
        <w:rPr>
          <w:rFonts w:hint="eastAsia" w:ascii="仿宋_GB2312" w:hAnsi="宋体" w:eastAsia="仿宋_GB2312"/>
          <w:b/>
          <w:sz w:val="32"/>
          <w:u w:val="single"/>
        </w:rPr>
        <w:t xml:space="preserve">  </w:t>
      </w:r>
    </w:p>
    <w:p>
      <w:pPr>
        <w:spacing w:line="225" w:lineRule="atLeast"/>
        <w:rPr>
          <w:rFonts w:hint="eastAsia" w:ascii="宋体" w:hAnsi="宋体"/>
          <w:sz w:val="32"/>
        </w:rPr>
      </w:pPr>
    </w:p>
    <w:p>
      <w:pPr>
        <w:spacing w:line="225" w:lineRule="atLeast"/>
        <w:rPr>
          <w:rFonts w:hint="eastAsia" w:ascii="宋体" w:hAnsi="宋体"/>
          <w:sz w:val="32"/>
        </w:rPr>
      </w:pPr>
    </w:p>
    <w:p>
      <w:pPr>
        <w:spacing w:line="225" w:lineRule="atLeast"/>
        <w:rPr>
          <w:rFonts w:hint="eastAsia" w:ascii="宋体" w:hAnsi="宋体"/>
          <w:sz w:val="32"/>
        </w:rPr>
      </w:pPr>
    </w:p>
    <w:p>
      <w:pPr>
        <w:spacing w:line="225" w:lineRule="atLeast"/>
        <w:jc w:val="center"/>
        <w:rPr>
          <w:rFonts w:hint="eastAsia" w:ascii="仿宋_GB2312" w:hAnsi="宋体" w:eastAsia="仿宋_GB2312"/>
          <w:b/>
          <w:sz w:val="32"/>
          <w:szCs w:val="32"/>
        </w:rPr>
      </w:pPr>
      <w:r>
        <w:rPr>
          <w:rFonts w:hint="eastAsia" w:ascii="仿宋_GB2312" w:eastAsia="仿宋_GB2312"/>
          <w:b/>
          <w:sz w:val="32"/>
          <w:szCs w:val="32"/>
        </w:rPr>
        <w:t>中国证券业协会</w:t>
      </w:r>
    </w:p>
    <w:p>
      <w:pPr>
        <w:spacing w:line="225" w:lineRule="atLeast"/>
        <w:jc w:val="center"/>
        <w:rPr>
          <w:rFonts w:hint="eastAsia" w:ascii="仿宋_GB2312" w:eastAsia="仿宋_GB2312"/>
          <w:b/>
          <w:sz w:val="32"/>
          <w:szCs w:val="32"/>
        </w:rPr>
      </w:pPr>
      <w:r>
        <w:rPr>
          <w:rFonts w:hint="eastAsia" w:ascii="仿宋_GB2312" w:eastAsia="仿宋_GB2312"/>
          <w:b/>
          <w:sz w:val="32"/>
          <w:szCs w:val="32"/>
        </w:rPr>
        <w:t>2022年8月</w:t>
      </w:r>
    </w:p>
    <w:p>
      <w:pPr>
        <w:spacing w:line="225" w:lineRule="atLeast"/>
        <w:jc w:val="center"/>
        <w:rPr>
          <w:rFonts w:hint="eastAsia" w:ascii="仿宋_GB2312" w:eastAsia="仿宋_GB2312"/>
          <w:b/>
          <w:sz w:val="32"/>
          <w:szCs w:val="32"/>
        </w:rPr>
      </w:pPr>
    </w:p>
    <w:p>
      <w:pPr>
        <w:jc w:val="both"/>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 xml:space="preserve"> </w:t>
      </w:r>
    </w:p>
    <w:p>
      <w:pPr>
        <w:jc w:val="center"/>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中泰证券助力县域经济乡村振兴发展研究</w:t>
      </w:r>
    </w:p>
    <w:p>
      <w:pPr>
        <w:jc w:val="center"/>
        <w:rPr>
          <w:rFonts w:hint="eastAsia" w:ascii="黑体" w:hAnsi="黑体" w:eastAsia="黑体" w:cs="黑体"/>
          <w:b/>
          <w:bCs/>
          <w:sz w:val="32"/>
          <w:szCs w:val="32"/>
          <w:lang w:val="en-US" w:eastAsia="zh-CN"/>
        </w:rPr>
      </w:pPr>
      <w:r>
        <w:rPr>
          <w:rFonts w:hint="eastAsia" w:ascii="黑体" w:hAnsi="黑体" w:eastAsia="黑体" w:cs="黑体"/>
          <w:b w:val="0"/>
          <w:bCs w:val="0"/>
          <w:sz w:val="32"/>
          <w:szCs w:val="32"/>
          <w:lang w:val="en-US" w:eastAsia="zh-CN"/>
        </w:rPr>
        <w:t>——以陕西省柞水县为例</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仿宋" w:hAnsi="仿宋" w:eastAsia="仿宋" w:cs="仿宋"/>
          <w:b/>
          <w:bCs/>
          <w:sz w:val="32"/>
          <w:szCs w:val="32"/>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eastAsia" w:ascii="宋体" w:hAnsi="宋体" w:eastAsia="宋体" w:cs="宋体"/>
          <w:b w:val="0"/>
          <w:bCs w:val="0"/>
          <w:sz w:val="24"/>
          <w:szCs w:val="24"/>
          <w:lang w:val="en-US" w:eastAsia="zh-CN"/>
        </w:rPr>
      </w:pPr>
      <w:bookmarkStart w:id="0" w:name="_Toc24354"/>
      <w:bookmarkStart w:id="1" w:name="_Toc7058"/>
      <w:r>
        <w:rPr>
          <w:rFonts w:hint="eastAsia" w:ascii="黑体" w:hAnsi="黑体" w:eastAsia="黑体" w:cs="黑体"/>
          <w:b w:val="0"/>
          <w:bCs w:val="0"/>
          <w:sz w:val="32"/>
          <w:szCs w:val="32"/>
          <w:lang w:val="en-US" w:eastAsia="zh-CN"/>
        </w:rPr>
        <w:t>摘  要</w:t>
      </w:r>
      <w:bookmarkEnd w:id="0"/>
      <w:bookmarkEnd w:id="1"/>
      <w:r>
        <w:rPr>
          <w:rFonts w:hint="eastAsia" w:ascii="黑体" w:hAnsi="黑体" w:eastAsia="黑体" w:cs="黑体"/>
          <w:b w:val="0"/>
          <w:bCs w:val="0"/>
          <w:sz w:val="32"/>
          <w:szCs w:val="32"/>
          <w:lang w:val="en-US" w:eastAsia="zh-CN"/>
        </w:rPr>
        <w:t>：</w:t>
      </w:r>
      <w:r>
        <w:rPr>
          <w:rFonts w:hint="eastAsia" w:ascii="宋体" w:hAnsi="宋体" w:eastAsia="宋体" w:cs="宋体"/>
          <w:b w:val="0"/>
          <w:bCs w:val="0"/>
          <w:sz w:val="24"/>
          <w:szCs w:val="24"/>
          <w:lang w:val="en-US" w:eastAsia="zh-CN"/>
        </w:rPr>
        <w:t>本文在充分认识柞水县域经济发展现状的基础上，分析了县域经济发展在实现乡村振兴的过程中存在的问题。通过中泰证券在柞水县落实乡村振兴战略的具体做法，结合当地特色产业发展，提出因地制宜，助力乡村振兴的措施和建议。</w:t>
      </w:r>
    </w:p>
    <w:p>
      <w:pPr>
        <w:pStyle w:val="2"/>
        <w:spacing w:line="620" w:lineRule="exact"/>
        <w:ind w:firstLine="640" w:firstLineChars="200"/>
        <w:rPr>
          <w:rFonts w:hint="eastAsia" w:ascii="宋体" w:hAnsi="宋体" w:eastAsia="宋体" w:cs="宋体"/>
          <w:b w:val="0"/>
          <w:bCs w:val="0"/>
          <w:sz w:val="24"/>
          <w:szCs w:val="24"/>
          <w:lang w:val="en-US" w:eastAsia="zh-CN"/>
        </w:rPr>
      </w:pPr>
      <w:r>
        <w:rPr>
          <w:rFonts w:hint="eastAsia" w:ascii="黑体" w:hAnsi="黑体" w:eastAsia="黑体" w:cs="黑体"/>
          <w:b w:val="0"/>
          <w:bCs w:val="0"/>
          <w:sz w:val="32"/>
          <w:szCs w:val="32"/>
          <w:lang w:val="en-US" w:eastAsia="zh-CN"/>
        </w:rPr>
        <w:t>关键词：</w:t>
      </w:r>
      <w:r>
        <w:rPr>
          <w:rFonts w:hint="eastAsia" w:ascii="宋体" w:hAnsi="宋体" w:eastAsia="宋体" w:cs="宋体"/>
          <w:b w:val="0"/>
          <w:bCs w:val="0"/>
          <w:sz w:val="24"/>
          <w:szCs w:val="24"/>
          <w:lang w:val="en-US" w:eastAsia="zh-CN"/>
        </w:rPr>
        <w:t>乡村振兴；特色产业发展；金融帮扶；证券业举措</w:t>
      </w:r>
    </w:p>
    <w:p/>
    <w:p>
      <w:pPr>
        <w:pStyle w:val="9"/>
        <w:tabs>
          <w:tab w:val="right" w:leader="dot" w:pos="8306"/>
        </w:tabs>
        <w:jc w:val="center"/>
        <w:rPr>
          <w:rFonts w:hint="eastAsia" w:ascii="方正小标宋简体" w:hAnsi="方正小标宋简体" w:eastAsia="方正小标宋简体" w:cs="方正小标宋简体"/>
          <w:b w:val="0"/>
          <w:bCs w:val="0"/>
          <w:sz w:val="44"/>
          <w:szCs w:val="44"/>
          <w:lang w:val="en-US" w:eastAsia="zh-CN"/>
        </w:rPr>
        <w:sectPr>
          <w:pgSz w:w="11906" w:h="16838"/>
          <w:pgMar w:top="1440" w:right="1800" w:bottom="1157" w:left="1800" w:header="851" w:footer="992" w:gutter="0"/>
          <w:pgNumType w:fmt="decimal" w:start="1"/>
          <w:cols w:space="425" w:num="1"/>
          <w:docGrid w:type="lines" w:linePitch="312" w:charSpace="0"/>
        </w:sectPr>
      </w:pPr>
    </w:p>
    <w:p>
      <w:pPr>
        <w:pStyle w:val="9"/>
        <w:tabs>
          <w:tab w:val="right" w:leader="dot" w:pos="8306"/>
        </w:tabs>
        <w:jc w:val="center"/>
        <w:rPr>
          <w:rFonts w:hint="eastAsia" w:ascii="方正小标宋简体" w:hAnsi="方正小标宋简体" w:eastAsia="方正小标宋简体" w:cs="方正小标宋简体"/>
          <w:b w:val="0"/>
          <w:bCs w:val="0"/>
          <w:sz w:val="44"/>
          <w:szCs w:val="44"/>
          <w:lang w:val="en-US" w:eastAsia="zh-CN"/>
        </w:rPr>
      </w:pPr>
      <w:bookmarkStart w:id="88" w:name="_GoBack"/>
      <w:bookmarkEnd w:id="88"/>
      <w:r>
        <w:rPr>
          <w:rFonts w:hint="eastAsia" w:ascii="方正小标宋简体" w:hAnsi="方正小标宋简体" w:eastAsia="方正小标宋简体" w:cs="方正小标宋简体"/>
          <w:b w:val="0"/>
          <w:bCs w:val="0"/>
          <w:sz w:val="44"/>
          <w:szCs w:val="44"/>
          <w:lang w:val="en-US" w:eastAsia="zh-CN"/>
        </w:rPr>
        <w:t>目录</w:t>
      </w:r>
    </w:p>
    <w:p>
      <w:pPr>
        <w:pStyle w:val="9"/>
        <w:tabs>
          <w:tab w:val="right" w:leader="dot" w:pos="8306"/>
        </w:tabs>
        <w:spacing w:line="580" w:lineRule="exact"/>
        <w:rPr>
          <w:rFonts w:hint="eastAsia" w:ascii="宋体" w:hAnsi="宋体" w:eastAsia="宋体" w:cs="宋体"/>
          <w:sz w:val="30"/>
          <w:szCs w:val="30"/>
        </w:rPr>
      </w:pPr>
      <w:r>
        <w:rPr>
          <w:rFonts w:hint="eastAsia" w:ascii="仿宋_GB2312" w:hAnsi="仿宋_GB2312" w:eastAsia="仿宋_GB2312" w:cs="仿宋_GB2312"/>
          <w:b w:val="0"/>
          <w:bCs w:val="0"/>
          <w:sz w:val="30"/>
          <w:szCs w:val="30"/>
          <w:lang w:val="en-US" w:eastAsia="zh-CN"/>
        </w:rPr>
        <w:fldChar w:fldCharType="begin"/>
      </w:r>
      <w:r>
        <w:rPr>
          <w:rFonts w:hint="eastAsia" w:ascii="仿宋_GB2312" w:hAnsi="仿宋_GB2312" w:eastAsia="仿宋_GB2312" w:cs="仿宋_GB2312"/>
          <w:b w:val="0"/>
          <w:bCs w:val="0"/>
          <w:sz w:val="30"/>
          <w:szCs w:val="30"/>
          <w:lang w:val="en-US" w:eastAsia="zh-CN"/>
        </w:rPr>
        <w:instrText xml:space="preserve">TOC \o "1-2" \h \u </w:instrText>
      </w:r>
      <w:r>
        <w:rPr>
          <w:rFonts w:hint="eastAsia" w:ascii="仿宋_GB2312" w:hAnsi="仿宋_GB2312" w:eastAsia="仿宋_GB2312" w:cs="仿宋_GB2312"/>
          <w:b w:val="0"/>
          <w:bCs w:val="0"/>
          <w:sz w:val="30"/>
          <w:szCs w:val="30"/>
          <w:lang w:val="en-US" w:eastAsia="zh-CN"/>
        </w:rPr>
        <w:fldChar w:fldCharType="separate"/>
      </w:r>
      <w:r>
        <w:rPr>
          <w:rFonts w:hint="eastAsia" w:ascii="宋体" w:hAnsi="宋体" w:eastAsia="宋体" w:cs="宋体"/>
          <w:bCs w:val="0"/>
          <w:sz w:val="30"/>
          <w:szCs w:val="30"/>
          <w:lang w:val="en-US" w:eastAsia="zh-CN"/>
        </w:rPr>
        <w:fldChar w:fldCharType="begin"/>
      </w:r>
      <w:r>
        <w:rPr>
          <w:rFonts w:hint="eastAsia" w:ascii="宋体" w:hAnsi="宋体" w:eastAsia="宋体" w:cs="宋体"/>
          <w:bCs w:val="0"/>
          <w:sz w:val="30"/>
          <w:szCs w:val="30"/>
          <w:lang w:val="en-US" w:eastAsia="zh-CN"/>
        </w:rPr>
        <w:instrText xml:space="preserve"> HYPERLINK \l _Toc31422 </w:instrText>
      </w:r>
      <w:r>
        <w:rPr>
          <w:rFonts w:hint="eastAsia" w:ascii="宋体" w:hAnsi="宋体" w:eastAsia="宋体" w:cs="宋体"/>
          <w:bCs w:val="0"/>
          <w:sz w:val="30"/>
          <w:szCs w:val="30"/>
          <w:lang w:val="en-US" w:eastAsia="zh-CN"/>
        </w:rPr>
        <w:fldChar w:fldCharType="separate"/>
      </w:r>
      <w:r>
        <w:rPr>
          <w:rFonts w:hint="eastAsia" w:ascii="宋体" w:hAnsi="宋体" w:eastAsia="宋体" w:cs="宋体"/>
          <w:bCs/>
          <w:sz w:val="30"/>
          <w:szCs w:val="30"/>
          <w:lang w:val="en-US" w:eastAsia="zh-CN"/>
        </w:rPr>
        <w:t>一、基本情况</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_Toc31422 \h </w:instrText>
      </w:r>
      <w:r>
        <w:rPr>
          <w:rFonts w:hint="eastAsia" w:ascii="宋体" w:hAnsi="宋体" w:eastAsia="宋体" w:cs="宋体"/>
          <w:sz w:val="30"/>
          <w:szCs w:val="30"/>
        </w:rPr>
        <w:fldChar w:fldCharType="separate"/>
      </w:r>
      <w:r>
        <w:rPr>
          <w:rFonts w:hint="eastAsia" w:ascii="宋体" w:hAnsi="宋体" w:eastAsia="宋体" w:cs="宋体"/>
          <w:sz w:val="30"/>
          <w:szCs w:val="30"/>
        </w:rPr>
        <w:t>1</w:t>
      </w:r>
      <w:r>
        <w:rPr>
          <w:rFonts w:hint="eastAsia" w:ascii="宋体" w:hAnsi="宋体" w:eastAsia="宋体" w:cs="宋体"/>
          <w:sz w:val="30"/>
          <w:szCs w:val="30"/>
        </w:rPr>
        <w:fldChar w:fldCharType="end"/>
      </w:r>
      <w:r>
        <w:rPr>
          <w:rFonts w:hint="eastAsia" w:ascii="宋体" w:hAnsi="宋体" w:eastAsia="宋体" w:cs="宋体"/>
          <w:bCs w:val="0"/>
          <w:sz w:val="30"/>
          <w:szCs w:val="30"/>
          <w:lang w:val="en-US" w:eastAsia="zh-CN"/>
        </w:rPr>
        <w:fldChar w:fldCharType="end"/>
      </w:r>
    </w:p>
    <w:p>
      <w:pPr>
        <w:pStyle w:val="9"/>
        <w:tabs>
          <w:tab w:val="right" w:leader="dot" w:pos="8306"/>
        </w:tabs>
        <w:spacing w:line="580" w:lineRule="exact"/>
        <w:rPr>
          <w:rFonts w:hint="eastAsia" w:ascii="宋体" w:hAnsi="宋体" w:eastAsia="宋体" w:cs="宋体"/>
          <w:sz w:val="30"/>
          <w:szCs w:val="30"/>
        </w:rPr>
      </w:pPr>
      <w:r>
        <w:rPr>
          <w:rFonts w:hint="eastAsia" w:ascii="宋体" w:hAnsi="宋体" w:eastAsia="宋体" w:cs="宋体"/>
          <w:bCs w:val="0"/>
          <w:sz w:val="30"/>
          <w:szCs w:val="30"/>
          <w:lang w:val="en-US" w:eastAsia="zh-CN"/>
        </w:rPr>
        <w:fldChar w:fldCharType="begin"/>
      </w:r>
      <w:r>
        <w:rPr>
          <w:rFonts w:hint="eastAsia" w:ascii="宋体" w:hAnsi="宋体" w:eastAsia="宋体" w:cs="宋体"/>
          <w:bCs w:val="0"/>
          <w:sz w:val="30"/>
          <w:szCs w:val="30"/>
          <w:lang w:val="en-US" w:eastAsia="zh-CN"/>
        </w:rPr>
        <w:instrText xml:space="preserve"> HYPERLINK \l _Toc6832 </w:instrText>
      </w:r>
      <w:r>
        <w:rPr>
          <w:rFonts w:hint="eastAsia" w:ascii="宋体" w:hAnsi="宋体" w:eastAsia="宋体" w:cs="宋体"/>
          <w:bCs w:val="0"/>
          <w:sz w:val="30"/>
          <w:szCs w:val="30"/>
          <w:lang w:val="en-US" w:eastAsia="zh-CN"/>
        </w:rPr>
        <w:fldChar w:fldCharType="separate"/>
      </w:r>
      <w:r>
        <w:rPr>
          <w:rFonts w:hint="eastAsia" w:ascii="宋体" w:hAnsi="宋体" w:eastAsia="宋体" w:cs="宋体"/>
          <w:bCs/>
          <w:sz w:val="30"/>
          <w:szCs w:val="30"/>
          <w:lang w:val="en-US" w:eastAsia="zh-CN"/>
        </w:rPr>
        <w:t>二、县域经济发展概况</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_Toc6832 \h </w:instrText>
      </w:r>
      <w:r>
        <w:rPr>
          <w:rFonts w:hint="eastAsia" w:ascii="宋体" w:hAnsi="宋体" w:eastAsia="宋体" w:cs="宋体"/>
          <w:sz w:val="30"/>
          <w:szCs w:val="30"/>
        </w:rPr>
        <w:fldChar w:fldCharType="separate"/>
      </w:r>
      <w:r>
        <w:rPr>
          <w:rFonts w:hint="eastAsia" w:ascii="宋体" w:hAnsi="宋体" w:eastAsia="宋体" w:cs="宋体"/>
          <w:sz w:val="30"/>
          <w:szCs w:val="30"/>
        </w:rPr>
        <w:t>1</w:t>
      </w:r>
      <w:r>
        <w:rPr>
          <w:rFonts w:hint="eastAsia" w:ascii="宋体" w:hAnsi="宋体" w:eastAsia="宋体" w:cs="宋体"/>
          <w:sz w:val="30"/>
          <w:szCs w:val="30"/>
        </w:rPr>
        <w:fldChar w:fldCharType="end"/>
      </w:r>
      <w:r>
        <w:rPr>
          <w:rFonts w:hint="eastAsia" w:ascii="宋体" w:hAnsi="宋体" w:eastAsia="宋体" w:cs="宋体"/>
          <w:bCs w:val="0"/>
          <w:sz w:val="30"/>
          <w:szCs w:val="30"/>
          <w:lang w:val="en-US" w:eastAsia="zh-CN"/>
        </w:rPr>
        <w:fldChar w:fldCharType="end"/>
      </w:r>
    </w:p>
    <w:p>
      <w:pPr>
        <w:pStyle w:val="9"/>
        <w:tabs>
          <w:tab w:val="right" w:leader="dot" w:pos="8306"/>
        </w:tabs>
        <w:spacing w:line="580" w:lineRule="exact"/>
        <w:rPr>
          <w:rFonts w:hint="eastAsia" w:ascii="仿宋_GB2312" w:hAnsi="仿宋_GB2312" w:eastAsia="仿宋_GB2312" w:cs="仿宋_GB2312"/>
          <w:sz w:val="30"/>
          <w:szCs w:val="30"/>
        </w:rPr>
      </w:pPr>
      <w:r>
        <w:rPr>
          <w:rFonts w:hint="eastAsia" w:ascii="宋体" w:hAnsi="宋体" w:eastAsia="宋体" w:cs="宋体"/>
          <w:bCs w:val="0"/>
          <w:sz w:val="30"/>
          <w:szCs w:val="30"/>
          <w:lang w:val="en-US" w:eastAsia="zh-CN"/>
        </w:rPr>
        <w:fldChar w:fldCharType="begin"/>
      </w:r>
      <w:r>
        <w:rPr>
          <w:rFonts w:hint="eastAsia" w:ascii="宋体" w:hAnsi="宋体" w:eastAsia="宋体" w:cs="宋体"/>
          <w:bCs w:val="0"/>
          <w:sz w:val="30"/>
          <w:szCs w:val="30"/>
          <w:lang w:val="en-US" w:eastAsia="zh-CN"/>
        </w:rPr>
        <w:instrText xml:space="preserve"> HYPERLINK \l _Toc30692 </w:instrText>
      </w:r>
      <w:r>
        <w:rPr>
          <w:rFonts w:hint="eastAsia" w:ascii="宋体" w:hAnsi="宋体" w:eastAsia="宋体" w:cs="宋体"/>
          <w:bCs w:val="0"/>
          <w:sz w:val="30"/>
          <w:szCs w:val="30"/>
          <w:lang w:val="en-US" w:eastAsia="zh-CN"/>
        </w:rPr>
        <w:fldChar w:fldCharType="separate"/>
      </w:r>
      <w:r>
        <w:rPr>
          <w:rFonts w:hint="eastAsia" w:ascii="宋体" w:hAnsi="宋体" w:eastAsia="宋体" w:cs="宋体"/>
          <w:bCs/>
          <w:sz w:val="30"/>
          <w:szCs w:val="30"/>
          <w:lang w:val="en-US" w:eastAsia="zh-CN"/>
        </w:rPr>
        <w:t>三、县域经济发展中存在的问题</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_Toc30692 \h </w:instrText>
      </w:r>
      <w:r>
        <w:rPr>
          <w:rFonts w:hint="eastAsia" w:ascii="宋体" w:hAnsi="宋体" w:eastAsia="宋体" w:cs="宋体"/>
          <w:sz w:val="30"/>
          <w:szCs w:val="30"/>
        </w:rPr>
        <w:fldChar w:fldCharType="separate"/>
      </w:r>
      <w:r>
        <w:rPr>
          <w:rFonts w:hint="eastAsia" w:ascii="宋体" w:hAnsi="宋体" w:eastAsia="宋体" w:cs="宋体"/>
          <w:sz w:val="30"/>
          <w:szCs w:val="30"/>
        </w:rPr>
        <w:t>3</w:t>
      </w:r>
      <w:r>
        <w:rPr>
          <w:rFonts w:hint="eastAsia" w:ascii="宋体" w:hAnsi="宋体" w:eastAsia="宋体" w:cs="宋体"/>
          <w:sz w:val="30"/>
          <w:szCs w:val="30"/>
        </w:rPr>
        <w:fldChar w:fldCharType="end"/>
      </w:r>
      <w:r>
        <w:rPr>
          <w:rFonts w:hint="eastAsia" w:ascii="宋体" w:hAnsi="宋体" w:eastAsia="宋体" w:cs="宋体"/>
          <w:bCs w:val="0"/>
          <w:sz w:val="30"/>
          <w:szCs w:val="30"/>
          <w:lang w:val="en-US" w:eastAsia="zh-CN"/>
        </w:rPr>
        <w:fldChar w:fldCharType="end"/>
      </w:r>
    </w:p>
    <w:p>
      <w:pPr>
        <w:pStyle w:val="11"/>
        <w:tabs>
          <w:tab w:val="right" w:leader="dot" w:pos="8306"/>
        </w:tabs>
        <w:spacing w:line="580" w:lineRule="exact"/>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_Toc11419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i w:val="0"/>
          <w:iCs w:val="0"/>
          <w:spacing w:val="0"/>
          <w:kern w:val="21"/>
          <w:sz w:val="24"/>
          <w:szCs w:val="24"/>
          <w:lang w:val="en-US" w:eastAsia="zh-CN" w:bidi="ar-SA"/>
        </w:rPr>
        <w:t>（一）消费贡献相对不足，主要源于收入提升有限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_Toc11419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11"/>
        <w:tabs>
          <w:tab w:val="right" w:leader="dot" w:pos="8306"/>
        </w:tabs>
        <w:spacing w:line="580" w:lineRule="exact"/>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_Toc24370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pacing w:val="0"/>
          <w:kern w:val="21"/>
          <w:sz w:val="24"/>
          <w:szCs w:val="24"/>
          <w:lang w:val="en-US" w:eastAsia="zh-CN" w:bidi="ar-SA"/>
        </w:rPr>
        <w:t>（二）农业产业化水平不高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_Toc24370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11"/>
        <w:tabs>
          <w:tab w:val="right" w:leader="dot" w:pos="8306"/>
        </w:tabs>
        <w:spacing w:line="580" w:lineRule="exact"/>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_Toc29739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pacing w:val="0"/>
          <w:kern w:val="21"/>
          <w:sz w:val="24"/>
          <w:szCs w:val="24"/>
          <w:lang w:val="en-US" w:eastAsia="zh-CN" w:bidi="ar-SA"/>
        </w:rPr>
        <w:t>（三）新型职业农民队伍薄弱</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_Toc29739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11"/>
        <w:tabs>
          <w:tab w:val="right" w:leader="dot" w:pos="8306"/>
        </w:tabs>
        <w:spacing w:line="580" w:lineRule="exact"/>
        <w:rPr>
          <w:rFonts w:hint="eastAsia" w:ascii="仿宋_GB2312" w:hAnsi="仿宋_GB2312" w:eastAsia="仿宋_GB2312" w:cs="仿宋_GB2312"/>
          <w:sz w:val="30"/>
          <w:szCs w:val="30"/>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_Toc4658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pacing w:val="0"/>
          <w:kern w:val="21"/>
          <w:sz w:val="24"/>
          <w:szCs w:val="24"/>
          <w:lang w:val="en-US" w:eastAsia="zh-CN" w:bidi="ar-SA"/>
        </w:rPr>
        <w:t>（四）乡风文明建设有待加强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_Toc4658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9"/>
        <w:tabs>
          <w:tab w:val="right" w:leader="dot" w:pos="8306"/>
        </w:tabs>
        <w:spacing w:line="580" w:lineRule="exact"/>
        <w:rPr>
          <w:rFonts w:hint="eastAsia" w:ascii="仿宋_GB2312" w:hAnsi="仿宋_GB2312" w:eastAsia="仿宋_GB2312" w:cs="仿宋_GB2312"/>
          <w:sz w:val="30"/>
          <w:szCs w:val="30"/>
        </w:rPr>
      </w:pPr>
      <w:r>
        <w:rPr>
          <w:rFonts w:hint="eastAsia" w:ascii="宋体" w:hAnsi="宋体" w:eastAsia="宋体" w:cs="宋体"/>
          <w:bCs w:val="0"/>
          <w:sz w:val="30"/>
          <w:szCs w:val="30"/>
          <w:lang w:val="en-US" w:eastAsia="zh-CN"/>
        </w:rPr>
        <w:fldChar w:fldCharType="begin"/>
      </w:r>
      <w:r>
        <w:rPr>
          <w:rFonts w:hint="eastAsia" w:ascii="宋体" w:hAnsi="宋体" w:eastAsia="宋体" w:cs="宋体"/>
          <w:bCs w:val="0"/>
          <w:sz w:val="30"/>
          <w:szCs w:val="30"/>
          <w:lang w:val="en-US" w:eastAsia="zh-CN"/>
        </w:rPr>
        <w:instrText xml:space="preserve"> HYPERLINK \l _Toc14262 </w:instrText>
      </w:r>
      <w:r>
        <w:rPr>
          <w:rFonts w:hint="eastAsia" w:ascii="宋体" w:hAnsi="宋体" w:eastAsia="宋体" w:cs="宋体"/>
          <w:bCs w:val="0"/>
          <w:sz w:val="30"/>
          <w:szCs w:val="30"/>
          <w:lang w:val="en-US" w:eastAsia="zh-CN"/>
        </w:rPr>
        <w:fldChar w:fldCharType="separate"/>
      </w:r>
      <w:r>
        <w:rPr>
          <w:rFonts w:hint="eastAsia" w:ascii="宋体" w:hAnsi="宋体" w:eastAsia="宋体" w:cs="宋体"/>
          <w:bCs/>
          <w:sz w:val="30"/>
          <w:szCs w:val="30"/>
          <w:lang w:val="en-US" w:eastAsia="zh-CN"/>
        </w:rPr>
        <w:t>四、证券业助力乡村振兴的举措</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_Toc14262 \h </w:instrText>
      </w:r>
      <w:r>
        <w:rPr>
          <w:rFonts w:hint="eastAsia" w:ascii="宋体" w:hAnsi="宋体" w:eastAsia="宋体" w:cs="宋体"/>
          <w:sz w:val="30"/>
          <w:szCs w:val="30"/>
        </w:rPr>
        <w:fldChar w:fldCharType="separate"/>
      </w:r>
      <w:r>
        <w:rPr>
          <w:rFonts w:hint="eastAsia" w:ascii="宋体" w:hAnsi="宋体" w:eastAsia="宋体" w:cs="宋体"/>
          <w:sz w:val="30"/>
          <w:szCs w:val="30"/>
        </w:rPr>
        <w:t>5</w:t>
      </w:r>
      <w:r>
        <w:rPr>
          <w:rFonts w:hint="eastAsia" w:ascii="宋体" w:hAnsi="宋体" w:eastAsia="宋体" w:cs="宋体"/>
          <w:sz w:val="30"/>
          <w:szCs w:val="30"/>
        </w:rPr>
        <w:fldChar w:fldCharType="end"/>
      </w:r>
      <w:r>
        <w:rPr>
          <w:rFonts w:hint="eastAsia" w:ascii="宋体" w:hAnsi="宋体" w:eastAsia="宋体" w:cs="宋体"/>
          <w:bCs w:val="0"/>
          <w:sz w:val="30"/>
          <w:szCs w:val="30"/>
          <w:lang w:val="en-US" w:eastAsia="zh-CN"/>
        </w:rPr>
        <w:fldChar w:fldCharType="end"/>
      </w:r>
    </w:p>
    <w:p>
      <w:pPr>
        <w:pStyle w:val="11"/>
        <w:tabs>
          <w:tab w:val="right" w:leader="dot" w:pos="8306"/>
        </w:tabs>
        <w:spacing w:line="580" w:lineRule="exact"/>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_Toc17682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kern w:val="2"/>
          <w:sz w:val="24"/>
          <w:szCs w:val="24"/>
          <w:lang w:val="en-US" w:eastAsia="zh-CN" w:bidi="ar-SA"/>
        </w:rPr>
        <w:t>（一）借助国内多层次股权融资市场，助力乡村企业直接融资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_Toc17682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11"/>
        <w:tabs>
          <w:tab w:val="right" w:leader="dot" w:pos="8306"/>
        </w:tabs>
        <w:spacing w:line="580" w:lineRule="exact"/>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_Toc27953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kern w:val="2"/>
          <w:sz w:val="24"/>
          <w:szCs w:val="24"/>
          <w:lang w:val="en-US" w:eastAsia="zh-CN" w:bidi="ar-SA"/>
        </w:rPr>
        <w:t>（二）推动债权融资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_Toc27953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11"/>
        <w:tabs>
          <w:tab w:val="right" w:leader="dot" w:pos="8306"/>
        </w:tabs>
        <w:spacing w:line="580" w:lineRule="exact"/>
        <w:rPr>
          <w:rFonts w:hint="eastAsia" w:ascii="仿宋_GB2312" w:hAnsi="仿宋_GB2312" w:eastAsia="仿宋_GB2312" w:cs="仿宋_GB2312"/>
          <w:sz w:val="30"/>
          <w:szCs w:val="30"/>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_Toc26220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kern w:val="2"/>
          <w:sz w:val="24"/>
          <w:szCs w:val="24"/>
          <w:lang w:val="en-US" w:eastAsia="zh-CN" w:bidi="ar-SA"/>
        </w:rPr>
        <w:t>（三）助力乡村发展特色产业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_Toc26220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9"/>
        <w:tabs>
          <w:tab w:val="right" w:leader="dot" w:pos="8306"/>
        </w:tabs>
        <w:spacing w:line="580" w:lineRule="exact"/>
        <w:rPr>
          <w:rFonts w:hint="eastAsia" w:ascii="宋体" w:hAnsi="宋体" w:eastAsia="宋体" w:cs="宋体"/>
          <w:sz w:val="30"/>
          <w:szCs w:val="30"/>
        </w:rPr>
      </w:pPr>
      <w:r>
        <w:rPr>
          <w:rFonts w:hint="eastAsia" w:ascii="宋体" w:hAnsi="宋体" w:eastAsia="宋体" w:cs="宋体"/>
          <w:bCs w:val="0"/>
          <w:sz w:val="30"/>
          <w:szCs w:val="30"/>
          <w:lang w:val="en-US" w:eastAsia="zh-CN"/>
        </w:rPr>
        <w:fldChar w:fldCharType="begin"/>
      </w:r>
      <w:r>
        <w:rPr>
          <w:rFonts w:hint="eastAsia" w:ascii="宋体" w:hAnsi="宋体" w:eastAsia="宋体" w:cs="宋体"/>
          <w:bCs w:val="0"/>
          <w:sz w:val="30"/>
          <w:szCs w:val="30"/>
          <w:lang w:val="en-US" w:eastAsia="zh-CN"/>
        </w:rPr>
        <w:instrText xml:space="preserve"> HYPERLINK \l _Toc16229 </w:instrText>
      </w:r>
      <w:r>
        <w:rPr>
          <w:rFonts w:hint="eastAsia" w:ascii="宋体" w:hAnsi="宋体" w:eastAsia="宋体" w:cs="宋体"/>
          <w:bCs w:val="0"/>
          <w:sz w:val="30"/>
          <w:szCs w:val="30"/>
          <w:lang w:val="en-US" w:eastAsia="zh-CN"/>
        </w:rPr>
        <w:fldChar w:fldCharType="separate"/>
      </w:r>
      <w:r>
        <w:rPr>
          <w:rFonts w:hint="eastAsia" w:ascii="宋体" w:hAnsi="宋体" w:eastAsia="宋体" w:cs="宋体"/>
          <w:bCs/>
          <w:sz w:val="30"/>
          <w:szCs w:val="30"/>
          <w:lang w:val="en-US" w:eastAsia="zh-CN"/>
        </w:rPr>
        <w:t>五、中泰证券助力柞水县产业振兴做法</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_Toc16229 \h </w:instrText>
      </w:r>
      <w:r>
        <w:rPr>
          <w:rFonts w:hint="eastAsia" w:ascii="宋体" w:hAnsi="宋体" w:eastAsia="宋体" w:cs="宋体"/>
          <w:sz w:val="30"/>
          <w:szCs w:val="30"/>
        </w:rPr>
        <w:fldChar w:fldCharType="separate"/>
      </w:r>
      <w:r>
        <w:rPr>
          <w:rFonts w:hint="eastAsia" w:ascii="宋体" w:hAnsi="宋体" w:eastAsia="宋体" w:cs="宋体"/>
          <w:sz w:val="30"/>
          <w:szCs w:val="30"/>
        </w:rPr>
        <w:t>7</w:t>
      </w:r>
      <w:r>
        <w:rPr>
          <w:rFonts w:hint="eastAsia" w:ascii="宋体" w:hAnsi="宋体" w:eastAsia="宋体" w:cs="宋体"/>
          <w:sz w:val="30"/>
          <w:szCs w:val="30"/>
        </w:rPr>
        <w:fldChar w:fldCharType="end"/>
      </w:r>
      <w:r>
        <w:rPr>
          <w:rFonts w:hint="eastAsia" w:ascii="宋体" w:hAnsi="宋体" w:eastAsia="宋体" w:cs="宋体"/>
          <w:bCs w:val="0"/>
          <w:sz w:val="30"/>
          <w:szCs w:val="30"/>
          <w:lang w:val="en-US" w:eastAsia="zh-CN"/>
        </w:rPr>
        <w:fldChar w:fldCharType="end"/>
      </w:r>
    </w:p>
    <w:p>
      <w:pPr>
        <w:pStyle w:val="11"/>
        <w:tabs>
          <w:tab w:val="right" w:leader="dot" w:pos="8306"/>
        </w:tabs>
        <w:spacing w:line="580" w:lineRule="exact"/>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_Toc23087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kern w:val="2"/>
          <w:sz w:val="24"/>
          <w:szCs w:val="24"/>
          <w:vertAlign w:val="baseline"/>
          <w:lang w:val="en-US" w:eastAsia="zh-CN" w:bidi="ar-SA"/>
        </w:rPr>
        <w:t>（一） 现场调研，精确对接实际需求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_Toc23087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11"/>
        <w:tabs>
          <w:tab w:val="right" w:leader="dot" w:pos="8306"/>
        </w:tabs>
        <w:spacing w:line="580" w:lineRule="exact"/>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_Toc32161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i w:val="0"/>
          <w:caps w:val="0"/>
          <w:spacing w:val="0"/>
          <w:kern w:val="44"/>
          <w:sz w:val="24"/>
          <w:szCs w:val="24"/>
          <w:shd w:val="clear" w:fill="FFFFFF"/>
          <w:lang w:val="en-US" w:eastAsia="zh-CN" w:bidi="ar"/>
        </w:rPr>
        <w:t xml:space="preserve">（二） </w:t>
      </w:r>
      <w:r>
        <w:rPr>
          <w:rFonts w:hint="eastAsia" w:ascii="宋体" w:hAnsi="宋体" w:eastAsia="宋体" w:cs="宋体"/>
          <w:bCs w:val="0"/>
          <w:i w:val="0"/>
          <w:caps w:val="0"/>
          <w:spacing w:val="0"/>
          <w:kern w:val="44"/>
          <w:sz w:val="24"/>
          <w:szCs w:val="24"/>
          <w:shd w:val="clear" w:color="auto" w:fill="FFFFFF"/>
          <w:lang w:val="en-US" w:eastAsia="zh-CN" w:bidi="ar"/>
        </w:rPr>
        <w:t>积极推进金融帮扶，为贫困地区引进活水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_Toc32161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11"/>
        <w:tabs>
          <w:tab w:val="right" w:leader="dot" w:pos="8306"/>
        </w:tabs>
        <w:spacing w:line="580" w:lineRule="exact"/>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_Toc18692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kern w:val="2"/>
          <w:sz w:val="24"/>
          <w:szCs w:val="24"/>
          <w:vertAlign w:val="baseline"/>
          <w:lang w:val="en-US" w:eastAsia="zh-CN" w:bidi="ar-SA"/>
        </w:rPr>
        <w:t xml:space="preserve">（三） </w:t>
      </w:r>
      <w:r>
        <w:rPr>
          <w:rFonts w:hint="eastAsia" w:ascii="宋体" w:hAnsi="宋体" w:eastAsia="宋体" w:cs="宋体"/>
          <w:bCs/>
          <w:i w:val="0"/>
          <w:caps w:val="0"/>
          <w:spacing w:val="0"/>
          <w:kern w:val="2"/>
          <w:sz w:val="24"/>
          <w:szCs w:val="24"/>
          <w:shd w:val="clear" w:color="auto" w:fill="FFFFFF"/>
          <w:lang w:val="en-US" w:eastAsia="zh-CN" w:bidi="ar"/>
        </w:rPr>
        <w:t>因地制宜，助力乡村发展特色产业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_Toc18692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11"/>
        <w:tabs>
          <w:tab w:val="right" w:leader="dot" w:pos="8306"/>
        </w:tabs>
        <w:spacing w:line="580" w:lineRule="exact"/>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_Toc21027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kern w:val="2"/>
          <w:sz w:val="24"/>
          <w:szCs w:val="24"/>
          <w:vertAlign w:val="baseline"/>
          <w:lang w:val="en-US" w:eastAsia="zh-CN" w:bidi="ar-SA"/>
        </w:rPr>
        <w:t xml:space="preserve">（四） </w:t>
      </w:r>
      <w:r>
        <w:rPr>
          <w:rFonts w:hint="eastAsia" w:ascii="宋体" w:hAnsi="宋体" w:eastAsia="宋体" w:cs="宋体"/>
          <w:bCs/>
          <w:i w:val="0"/>
          <w:caps w:val="0"/>
          <w:spacing w:val="0"/>
          <w:kern w:val="2"/>
          <w:sz w:val="24"/>
          <w:szCs w:val="24"/>
          <w:shd w:val="clear" w:color="auto" w:fill="FFFFFF"/>
          <w:lang w:val="en-US" w:eastAsia="zh-CN" w:bidi="ar"/>
        </w:rPr>
        <w:t>推进生态帮扶，提升县域的生态环境质量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_Toc21027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11"/>
        <w:tabs>
          <w:tab w:val="right" w:leader="dot" w:pos="8306"/>
        </w:tabs>
        <w:spacing w:line="580" w:lineRule="exact"/>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_Toc4000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i w:val="0"/>
          <w:caps w:val="0"/>
          <w:spacing w:val="0"/>
          <w:kern w:val="2"/>
          <w:sz w:val="24"/>
          <w:szCs w:val="24"/>
          <w:shd w:val="clear" w:fill="FFFFFF"/>
          <w:lang w:val="en-US" w:eastAsia="zh-CN" w:bidi="ar"/>
        </w:rPr>
        <w:t xml:space="preserve">（五） </w:t>
      </w:r>
      <w:r>
        <w:rPr>
          <w:rFonts w:hint="eastAsia" w:ascii="宋体" w:hAnsi="宋体" w:eastAsia="宋体" w:cs="宋体"/>
          <w:bCs/>
          <w:i w:val="0"/>
          <w:caps w:val="0"/>
          <w:spacing w:val="0"/>
          <w:kern w:val="2"/>
          <w:sz w:val="24"/>
          <w:szCs w:val="24"/>
          <w:shd w:val="clear" w:color="auto" w:fill="FFFFFF"/>
          <w:lang w:val="en-US" w:eastAsia="zh-CN" w:bidi="ar"/>
        </w:rPr>
        <w:t>以实践项目为依托深入落实智力帮扶，促进帮扶县域的就业培训</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_Toc4000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11"/>
        <w:tabs>
          <w:tab w:val="right" w:leader="dot" w:pos="8306"/>
        </w:tabs>
        <w:spacing w:line="580" w:lineRule="exact"/>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_Toc15497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i w:val="0"/>
          <w:caps w:val="0"/>
          <w:spacing w:val="0"/>
          <w:kern w:val="2"/>
          <w:sz w:val="24"/>
          <w:szCs w:val="24"/>
          <w:shd w:val="clear" w:fill="FFFFFF"/>
          <w:lang w:val="en-US" w:eastAsia="zh-CN" w:bidi="ar"/>
        </w:rPr>
        <w:t xml:space="preserve">（六） </w:t>
      </w:r>
      <w:r>
        <w:rPr>
          <w:rFonts w:hint="eastAsia" w:ascii="宋体" w:hAnsi="宋体" w:eastAsia="宋体" w:cs="宋体"/>
          <w:bCs/>
          <w:i w:val="0"/>
          <w:caps w:val="0"/>
          <w:spacing w:val="0"/>
          <w:kern w:val="2"/>
          <w:sz w:val="24"/>
          <w:szCs w:val="24"/>
          <w:shd w:val="clear" w:color="auto" w:fill="FFFFFF"/>
          <w:lang w:val="en-US" w:eastAsia="zh-CN" w:bidi="ar"/>
        </w:rPr>
        <w:t>多种方式开展捐资助学活动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_Toc15497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11"/>
        <w:tabs>
          <w:tab w:val="right" w:leader="dot" w:pos="8306"/>
        </w:tabs>
        <w:spacing w:line="580" w:lineRule="exact"/>
        <w:rPr>
          <w:rFonts w:hint="eastAsia" w:ascii="仿宋_GB2312" w:hAnsi="仿宋_GB2312" w:eastAsia="仿宋_GB2312" w:cs="仿宋_GB2312"/>
          <w:sz w:val="30"/>
          <w:szCs w:val="30"/>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_Toc30178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eastAsia="zh-CN"/>
        </w:rPr>
        <w:t xml:space="preserve">（七） </w:t>
      </w:r>
      <w:r>
        <w:rPr>
          <w:rFonts w:hint="eastAsia" w:ascii="宋体" w:hAnsi="宋体" w:eastAsia="宋体" w:cs="宋体"/>
          <w:bCs/>
          <w:i w:val="0"/>
          <w:caps w:val="0"/>
          <w:spacing w:val="0"/>
          <w:kern w:val="2"/>
          <w:sz w:val="24"/>
          <w:szCs w:val="24"/>
          <w:shd w:val="clear" w:color="auto" w:fill="FFFFFF"/>
          <w:lang w:val="en-US" w:eastAsia="zh-CN" w:bidi="ar"/>
        </w:rPr>
        <w:t>开展消费帮扶，进一步促进乡村产业发展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_Toc30178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pPr>
        <w:pStyle w:val="9"/>
        <w:tabs>
          <w:tab w:val="right" w:leader="dot" w:pos="8306"/>
        </w:tabs>
        <w:spacing w:line="580" w:lineRule="exact"/>
        <w:rPr>
          <w:rFonts w:hint="eastAsia" w:ascii="仿宋_GB2312" w:hAnsi="仿宋_GB2312" w:eastAsia="仿宋_GB2312" w:cs="仿宋_GB2312"/>
          <w:sz w:val="30"/>
          <w:szCs w:val="30"/>
        </w:rPr>
      </w:pPr>
      <w:r>
        <w:rPr>
          <w:rFonts w:hint="eastAsia" w:ascii="宋体" w:hAnsi="宋体" w:eastAsia="宋体" w:cs="宋体"/>
          <w:bCs w:val="0"/>
          <w:sz w:val="30"/>
          <w:szCs w:val="30"/>
          <w:lang w:val="en-US" w:eastAsia="zh-CN"/>
        </w:rPr>
        <w:fldChar w:fldCharType="begin"/>
      </w:r>
      <w:r>
        <w:rPr>
          <w:rFonts w:hint="eastAsia" w:ascii="宋体" w:hAnsi="宋体" w:eastAsia="宋体" w:cs="宋体"/>
          <w:bCs w:val="0"/>
          <w:sz w:val="30"/>
          <w:szCs w:val="30"/>
          <w:lang w:val="en-US" w:eastAsia="zh-CN"/>
        </w:rPr>
        <w:instrText xml:space="preserve"> HYPERLINK \l _Toc30984 </w:instrText>
      </w:r>
      <w:r>
        <w:rPr>
          <w:rFonts w:hint="eastAsia" w:ascii="宋体" w:hAnsi="宋体" w:eastAsia="宋体" w:cs="宋体"/>
          <w:bCs w:val="0"/>
          <w:sz w:val="30"/>
          <w:szCs w:val="30"/>
          <w:lang w:val="en-US" w:eastAsia="zh-CN"/>
        </w:rPr>
        <w:fldChar w:fldCharType="separate"/>
      </w:r>
      <w:r>
        <w:rPr>
          <w:rFonts w:hint="eastAsia" w:ascii="宋体" w:hAnsi="宋体" w:eastAsia="宋体" w:cs="宋体"/>
          <w:bCs/>
          <w:sz w:val="30"/>
          <w:szCs w:val="30"/>
          <w:lang w:val="en-US" w:eastAsia="zh-CN"/>
        </w:rPr>
        <w:t>六、下一步措施和建议</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_Toc30984 \h </w:instrText>
      </w:r>
      <w:r>
        <w:rPr>
          <w:rFonts w:hint="eastAsia" w:ascii="宋体" w:hAnsi="宋体" w:eastAsia="宋体" w:cs="宋体"/>
          <w:sz w:val="30"/>
          <w:szCs w:val="30"/>
        </w:rPr>
        <w:fldChar w:fldCharType="separate"/>
      </w:r>
      <w:r>
        <w:rPr>
          <w:rFonts w:hint="eastAsia" w:ascii="宋体" w:hAnsi="宋体" w:eastAsia="宋体" w:cs="宋体"/>
          <w:sz w:val="30"/>
          <w:szCs w:val="30"/>
        </w:rPr>
        <w:t>12</w:t>
      </w:r>
      <w:r>
        <w:rPr>
          <w:rFonts w:hint="eastAsia" w:ascii="宋体" w:hAnsi="宋体" w:eastAsia="宋体" w:cs="宋体"/>
          <w:sz w:val="30"/>
          <w:szCs w:val="30"/>
        </w:rPr>
        <w:fldChar w:fldCharType="end"/>
      </w:r>
      <w:r>
        <w:rPr>
          <w:rFonts w:hint="eastAsia" w:ascii="宋体" w:hAnsi="宋体" w:eastAsia="宋体" w:cs="宋体"/>
          <w:bCs w:val="0"/>
          <w:sz w:val="30"/>
          <w:szCs w:val="30"/>
          <w:lang w:val="en-US" w:eastAsia="zh-CN"/>
        </w:rPr>
        <w:fldChar w:fldCharType="end"/>
      </w:r>
    </w:p>
    <w:p>
      <w:pPr>
        <w:pStyle w:val="4"/>
        <w:keepNext/>
        <w:keepLines/>
        <w:pageBreakBefore w:val="0"/>
        <w:widowControl w:val="0"/>
        <w:kinsoku/>
        <w:wordWrap/>
        <w:overflowPunct/>
        <w:topLinePunct w:val="0"/>
        <w:autoSpaceDE/>
        <w:autoSpaceDN/>
        <w:bidi w:val="0"/>
        <w:adjustRightInd/>
        <w:snapToGrid/>
        <w:spacing w:line="620" w:lineRule="exact"/>
        <w:ind w:firstLine="602" w:firstLineChars="200"/>
        <w:jc w:val="both"/>
        <w:textAlignment w:val="auto"/>
        <w:rPr>
          <w:rFonts w:hint="eastAsia" w:ascii="黑体" w:hAnsi="黑体" w:eastAsia="黑体" w:cs="黑体"/>
          <w:bCs w:val="0"/>
          <w:szCs w:val="32"/>
          <w:lang w:val="en-US" w:eastAsia="zh-CN"/>
        </w:rPr>
        <w:sectPr>
          <w:footerReference r:id="rId3" w:type="default"/>
          <w:pgSz w:w="11906" w:h="16838"/>
          <w:pgMar w:top="1440" w:right="1800" w:bottom="1157" w:left="1800" w:header="851" w:footer="992" w:gutter="0"/>
          <w:pgNumType w:fmt="decimal" w:start="1"/>
          <w:cols w:space="425" w:num="1"/>
          <w:docGrid w:type="lines" w:linePitch="312" w:charSpace="0"/>
        </w:sectPr>
      </w:pPr>
      <w:r>
        <w:rPr>
          <w:rFonts w:hint="eastAsia" w:ascii="仿宋_GB2312" w:hAnsi="仿宋_GB2312" w:eastAsia="仿宋_GB2312" w:cs="仿宋_GB2312"/>
          <w:bCs w:val="0"/>
          <w:sz w:val="30"/>
          <w:szCs w:val="30"/>
          <w:lang w:val="en-US" w:eastAsia="zh-CN"/>
        </w:rPr>
        <w:fldChar w:fldCharType="end"/>
      </w:r>
      <w:bookmarkStart w:id="2" w:name="_Toc25078_WPSOffice_Level1"/>
      <w:bookmarkStart w:id="3" w:name="_Toc22318"/>
      <w:bookmarkStart w:id="4" w:name="_Toc31422"/>
      <w:bookmarkStart w:id="5" w:name="_Toc23046"/>
      <w:bookmarkStart w:id="6" w:name="_Toc13443"/>
    </w:p>
    <w:p>
      <w:pPr>
        <w:pStyle w:val="4"/>
        <w:keepNext/>
        <w:keepLines/>
        <w:pageBreakBefore w:val="0"/>
        <w:widowControl w:val="0"/>
        <w:kinsoku/>
        <w:wordWrap/>
        <w:overflowPunct/>
        <w:topLinePunct w:val="0"/>
        <w:autoSpaceDE/>
        <w:autoSpaceDN/>
        <w:bidi w:val="0"/>
        <w:adjustRightInd/>
        <w:snapToGrid/>
        <w:spacing w:before="157" w:beforeLines="50" w:after="157" w:afterLines="50" w:line="620" w:lineRule="exact"/>
        <w:ind w:firstLine="600" w:firstLineChars="200"/>
        <w:jc w:val="both"/>
        <w:textAlignment w:val="auto"/>
        <w:rPr>
          <w:rFonts w:hint="eastAsia" w:ascii="黑体" w:hAnsi="黑体" w:eastAsia="黑体" w:cs="黑体"/>
          <w:b w:val="0"/>
          <w:bCs/>
          <w:sz w:val="30"/>
          <w:szCs w:val="30"/>
          <w:lang w:val="en-US" w:eastAsia="zh-CN"/>
        </w:rPr>
      </w:pPr>
      <w:r>
        <w:rPr>
          <w:rFonts w:hint="eastAsia" w:ascii="黑体" w:hAnsi="黑体" w:eastAsia="黑体" w:cs="黑体"/>
          <w:b w:val="0"/>
          <w:bCs/>
          <w:sz w:val="30"/>
          <w:szCs w:val="30"/>
          <w:lang w:val="en-US" w:eastAsia="zh-CN"/>
        </w:rPr>
        <w:t>一、基本情况</w:t>
      </w:r>
      <w:bookmarkEnd w:id="2"/>
      <w:bookmarkEnd w:id="3"/>
      <w:bookmarkEnd w:id="4"/>
      <w:bookmarkEnd w:id="5"/>
      <w:bookmarkEnd w:id="6"/>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Lines="0" w:after="0" w:afterLines="0" w:line="620" w:lineRule="exact"/>
        <w:ind w:firstLine="480" w:firstLineChars="200"/>
        <w:jc w:val="both"/>
        <w:textAlignment w:val="auto"/>
        <w:rPr>
          <w:rFonts w:hint="eastAsia" w:ascii="宋体" w:hAnsi="宋体" w:eastAsia="宋体" w:cs="宋体"/>
          <w:spacing w:val="0"/>
          <w:kern w:val="21"/>
          <w:sz w:val="24"/>
          <w:szCs w:val="24"/>
          <w:u w:val="none"/>
          <w:lang w:val="en-US" w:eastAsia="zh-CN" w:bidi="ar-SA"/>
        </w:rPr>
      </w:pPr>
      <w:r>
        <w:rPr>
          <w:rFonts w:hint="eastAsia" w:ascii="宋体" w:hAnsi="宋体" w:eastAsia="宋体" w:cs="宋体"/>
          <w:spacing w:val="0"/>
          <w:kern w:val="21"/>
          <w:sz w:val="24"/>
          <w:szCs w:val="24"/>
          <w:u w:val="none"/>
          <w:lang w:val="en-US" w:eastAsia="zh-CN" w:bidi="ar-SA"/>
        </w:rPr>
        <w:t>柞水县地处陕西南部、商洛西部，因境内盛产柞树而得名，古为京畿长安重要门户，素有“秦楚咽喉”“终南首邑”之称，县域面积2332平方公里，辖8镇1办65个村17个社区，总人口13.7万，原有建档立卡贫困人口13534户42579人，2014年</w:t>
      </w:r>
      <w:r>
        <w:rPr>
          <w:rFonts w:hint="eastAsia" w:ascii="宋体" w:hAnsi="宋体" w:eastAsia="宋体" w:cs="宋体"/>
          <w:spacing w:val="-6"/>
          <w:kern w:val="21"/>
          <w:sz w:val="24"/>
          <w:szCs w:val="24"/>
          <w:u w:val="none"/>
          <w:lang w:val="en-US" w:eastAsia="zh-CN" w:bidi="ar-SA"/>
        </w:rPr>
        <w:t>初贫困发生率为44.04%，2020年2月，省政府批准柞水县整县摘帽。</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Lines="0" w:after="0" w:afterLines="0" w:line="620" w:lineRule="exact"/>
        <w:ind w:firstLine="48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spacing w:val="0"/>
          <w:kern w:val="21"/>
          <w:sz w:val="24"/>
          <w:szCs w:val="24"/>
          <w:u w:val="none"/>
          <w:lang w:val="en-US" w:eastAsia="zh-CN" w:bidi="ar-SA"/>
        </w:rPr>
        <w:t>近年来，柞水县认真学习贯彻习近平总书记关于扶贫工作的重要论述和来陕考察重要讲话重要指示，深入贯彻落实中央关于脱贫攻坚工作决策部署和省委、省政府工作要求，始终把打赢脱贫攻坚战作为最大政治任务、重要发展机遇和第一民生工程，坚持以脱贫攻坚统揽经济社会发展全局，尽锐出战、聚力攻坚，精准施策、精细绣花。2017年柞水县被省委、省政府授予“脱贫攻坚工作先进县”，2018年至2021年连续四年被表彰为陕西省脱贫攻坚工作“综合评价好的县区”，县委被中共中央、国务院表彰为“全国脱贫攻坚先进集体”、被省委表彰为“全省干事创业好班子”，脱贫攻坚战取得了全面胜利。</w:t>
      </w:r>
    </w:p>
    <w:p>
      <w:pPr>
        <w:pStyle w:val="4"/>
        <w:keepNext/>
        <w:keepLines/>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157" w:beforeLines="50" w:after="157" w:afterLines="50" w:line="620" w:lineRule="exact"/>
        <w:ind w:firstLine="600" w:firstLineChars="200"/>
        <w:jc w:val="both"/>
        <w:textAlignment w:val="auto"/>
        <w:rPr>
          <w:rFonts w:hint="eastAsia" w:ascii="黑体" w:hAnsi="黑体" w:eastAsia="黑体" w:cs="黑体"/>
          <w:b w:val="0"/>
          <w:bCs/>
          <w:sz w:val="30"/>
          <w:szCs w:val="30"/>
          <w:lang w:val="en-US" w:eastAsia="zh-CN"/>
        </w:rPr>
      </w:pPr>
      <w:bookmarkStart w:id="7" w:name="_Toc7162"/>
      <w:bookmarkStart w:id="8" w:name="_Toc19298_WPSOffice_Level1"/>
      <w:bookmarkStart w:id="9" w:name="_Toc6832"/>
      <w:bookmarkStart w:id="10" w:name="_Toc12658"/>
      <w:bookmarkStart w:id="11" w:name="_Toc20303"/>
      <w:r>
        <w:rPr>
          <w:rFonts w:hint="eastAsia" w:ascii="黑体" w:hAnsi="黑体" w:eastAsia="黑体" w:cs="黑体"/>
          <w:b w:val="0"/>
          <w:bCs/>
          <w:sz w:val="30"/>
          <w:szCs w:val="30"/>
          <w:lang w:val="en-US" w:eastAsia="zh-CN"/>
        </w:rPr>
        <w:t>二、县域经济发展概况</w:t>
      </w:r>
      <w:bookmarkEnd w:id="7"/>
      <w:bookmarkEnd w:id="8"/>
      <w:bookmarkEnd w:id="9"/>
      <w:bookmarkEnd w:id="10"/>
      <w:bookmarkEnd w:id="11"/>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Lines="0" w:afterLines="0" w:line="620" w:lineRule="exact"/>
        <w:ind w:firstLine="480" w:firstLineChars="200"/>
        <w:jc w:val="both"/>
        <w:textAlignment w:val="auto"/>
        <w:rPr>
          <w:rFonts w:hint="eastAsia" w:ascii="宋体" w:hAnsi="宋体" w:eastAsia="宋体" w:cs="宋体"/>
          <w:spacing w:val="0"/>
          <w:kern w:val="21"/>
          <w:sz w:val="24"/>
          <w:szCs w:val="24"/>
          <w:u w:val="none"/>
          <w:lang w:val="en-US" w:eastAsia="zh-CN" w:bidi="ar-SA"/>
        </w:rPr>
      </w:pPr>
      <w:r>
        <w:rPr>
          <w:rFonts w:hint="eastAsia" w:ascii="宋体" w:hAnsi="宋体" w:eastAsia="宋体" w:cs="宋体"/>
          <w:spacing w:val="0"/>
          <w:kern w:val="21"/>
          <w:sz w:val="24"/>
          <w:szCs w:val="24"/>
          <w:u w:val="none"/>
          <w:lang w:val="en-US" w:eastAsia="zh-CN" w:bidi="ar-SA"/>
        </w:rPr>
        <w:t>2021年，柞水县生产总值97.27亿元，同比增长10.1%，增长率居商洛市第一；社会消费品零售总额10.76亿元，同比增长11.3%，居全市第二；全县财政总收入4.28亿元，同比增长7.2%；农林牧渔业总产值16.9亿元、增加值8.81亿元，两项指标同比增长率均达到6%；城乡居民人均可支配收入2.96万元和1.14万元，分别增长7.6%、11.1%。</w:t>
      </w:r>
    </w:p>
    <w:p>
      <w:pPr>
        <w:pStyle w:val="2"/>
        <w:rPr>
          <w:rFonts w:hint="eastAsia" w:ascii="宋体" w:hAnsi="宋体" w:eastAsia="宋体" w:cs="宋体"/>
          <w:spacing w:val="0"/>
          <w:kern w:val="21"/>
          <w:sz w:val="24"/>
          <w:szCs w:val="24"/>
          <w:u w:val="none"/>
          <w:lang w:val="en-US" w:eastAsia="zh-CN" w:bidi="ar-SA"/>
        </w:rPr>
      </w:pPr>
    </w:p>
    <w:p>
      <w:pPr>
        <w:pStyle w:val="3"/>
        <w:rPr>
          <w:rFonts w:hint="eastAsia" w:ascii="宋体" w:hAnsi="宋体" w:eastAsia="宋体" w:cs="宋体"/>
          <w:spacing w:val="0"/>
          <w:kern w:val="21"/>
          <w:sz w:val="24"/>
          <w:szCs w:val="24"/>
          <w:u w:val="none"/>
          <w:lang w:val="en-US" w:eastAsia="zh-CN" w:bidi="ar-SA"/>
        </w:rPr>
      </w:pPr>
    </w:p>
    <w:p>
      <w:pPr>
        <w:rPr>
          <w:rFonts w:hint="eastAsia" w:ascii="宋体" w:hAnsi="宋体" w:eastAsia="宋体" w:cs="宋体"/>
          <w:spacing w:val="0"/>
          <w:kern w:val="21"/>
          <w:sz w:val="24"/>
          <w:szCs w:val="24"/>
          <w:u w:val="none"/>
          <w:lang w:val="en-US" w:eastAsia="zh-CN" w:bidi="ar-SA"/>
        </w:rPr>
      </w:pPr>
    </w:p>
    <w:p>
      <w:pPr>
        <w:pStyle w:val="2"/>
        <w:rPr>
          <w:rFonts w:hint="eastAsia" w:ascii="宋体" w:hAnsi="宋体" w:eastAsia="宋体" w:cs="宋体"/>
          <w:spacing w:val="0"/>
          <w:kern w:val="21"/>
          <w:sz w:val="24"/>
          <w:szCs w:val="24"/>
          <w:u w:val="none"/>
          <w:lang w:val="en-US" w:eastAsia="zh-CN" w:bidi="ar-SA"/>
        </w:rPr>
      </w:pPr>
    </w:p>
    <w:p>
      <w:pPr>
        <w:pStyle w:val="3"/>
        <w:ind w:left="0" w:leftChars="0" w:firstLine="0" w:firstLineChars="0"/>
        <w:rPr>
          <w:rFonts w:hint="eastAsia" w:ascii="宋体" w:hAnsi="宋体" w:eastAsia="宋体" w:cs="宋体"/>
          <w:spacing w:val="0"/>
          <w:kern w:val="21"/>
          <w:sz w:val="24"/>
          <w:szCs w:val="24"/>
          <w:u w:val="none"/>
          <w:lang w:val="en-US" w:eastAsia="zh-CN" w:bidi="ar-SA"/>
        </w:rPr>
      </w:pPr>
    </w:p>
    <w:p>
      <w:pPr>
        <w:jc w:val="center"/>
        <w:rPr>
          <w:rFonts w:hint="eastAsia"/>
          <w:lang w:val="en-US" w:eastAsia="zh-CN"/>
        </w:rPr>
      </w:pP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Lines="0" w:beforeAutospacing="0" w:after="0" w:afterLines="0" w:afterAutospacing="0" w:line="620" w:lineRule="exact"/>
        <w:ind w:left="0" w:right="0" w:firstLine="0"/>
        <w:jc w:val="center"/>
        <w:textAlignment w:val="auto"/>
        <w:rPr>
          <w:rFonts w:hint="eastAsia" w:ascii="宋体" w:hAnsi="宋体" w:eastAsia="宋体" w:cs="宋体"/>
          <w:spacing w:val="0"/>
          <w:kern w:val="21"/>
          <w:sz w:val="24"/>
          <w:szCs w:val="24"/>
          <w:u w:val="none"/>
          <w:lang w:val="en-US" w:eastAsia="zh-CN" w:bidi="ar-SA"/>
        </w:rPr>
      </w:pPr>
      <w:r>
        <w:rPr>
          <w:rFonts w:hint="eastAsia"/>
          <w:lang w:val="en-US" w:eastAsia="zh-CN"/>
        </w:rPr>
        <w:drawing>
          <wp:anchor distT="0" distB="0" distL="114300" distR="114300" simplePos="0" relativeHeight="251662336" behindDoc="0" locked="0" layoutInCell="1" allowOverlap="1">
            <wp:simplePos x="0" y="0"/>
            <wp:positionH relativeFrom="column">
              <wp:posOffset>71120</wp:posOffset>
            </wp:positionH>
            <wp:positionV relativeFrom="paragraph">
              <wp:posOffset>15240</wp:posOffset>
            </wp:positionV>
            <wp:extent cx="5080000" cy="3448685"/>
            <wp:effectExtent l="4445" t="4445" r="20955" b="13970"/>
            <wp:wrapTopAndBottom/>
            <wp:docPr id="8" name="图表 8" title="啊啊撒上"/>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宋体" w:hAnsi="宋体" w:eastAsia="宋体" w:cs="宋体"/>
          <w:spacing w:val="0"/>
          <w:kern w:val="21"/>
          <w:sz w:val="21"/>
          <w:szCs w:val="21"/>
          <w:u w:val="none"/>
          <w:lang w:val="en-US" w:eastAsia="zh-CN" w:bidi="ar-SA"/>
        </w:rPr>
        <w:t>图1 柞水县2020/2021年各项主要经济指标对比</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Lines="0" w:beforeAutospacing="0" w:after="0" w:afterLines="0" w:afterAutospacing="0" w:line="620" w:lineRule="exact"/>
        <w:ind w:left="0" w:right="0" w:firstLine="645"/>
        <w:jc w:val="both"/>
        <w:textAlignment w:val="auto"/>
        <w:rPr>
          <w:rFonts w:hint="eastAsia" w:ascii="宋体" w:hAnsi="宋体" w:eastAsia="宋体" w:cs="宋体"/>
          <w:spacing w:val="0"/>
          <w:kern w:val="21"/>
          <w:sz w:val="24"/>
          <w:szCs w:val="24"/>
          <w:u w:val="none"/>
          <w:lang w:val="en-US" w:eastAsia="zh-CN" w:bidi="ar-SA"/>
        </w:rPr>
      </w:pPr>
      <w:r>
        <w:rPr>
          <w:rFonts w:hint="eastAsia" w:ascii="宋体" w:hAnsi="宋体" w:eastAsia="宋体" w:cs="宋体"/>
          <w:spacing w:val="0"/>
          <w:kern w:val="21"/>
          <w:sz w:val="24"/>
          <w:szCs w:val="24"/>
          <w:u w:val="none"/>
          <w:lang w:val="en-US" w:eastAsia="zh-CN" w:bidi="ar-SA"/>
        </w:rPr>
        <w:t>2021年，全县以扩投资、稳增长，激发高质量发展为动力，落实落地各项发展规划：一是深化“项目建设提升年”活动，推行项目“六包”责任制，统筹抓好项目谋划、引进和建设，云山湖森林康养度假区、大西沟800万吨菱铁新材料、曹坪抽水蓄能电站被列为全市“双九”重大项目，全年105个重点项目完成投资112.8亿元，年计划完成率达103.5%。招商到位资金149.68亿元，争取财政专项资金和专项债券资金11.2亿元，通过招商引资为高质量发展注入了强大动能。二是深入开展“百人帮百企”活动，创新探索“五上”企业奖励办法，实现减税降费额1.32亿元，新培育市场主体1327户，新增“五上”企业40家，本县企业盘龙药业被评为陕西省“专精特新”中小企业，全县规模以上工业总产值和增加值分别同比增长29.1%、15.4%。园区配套设施建设提速,新建工业标准化厂房3.28万平方米，引进陕西万银等入园企业8家，大西沟省级绿色矿山创建扎实推进，商洛市矿业发展“五化”建设现场会在柞水县召开。三是优化旅游要素配置，加快精品景区建设，飞跃终南等涉游体验项目建成运营，旅游宣传持续加强，《爷爷的牛背梁》在京上映，全县3条乡村休闲游线路入选陕西省乡村游精品线路，被国际旅游联合会授予“最美中国旅游县”称号。商贸物流、餐饮住宿、康体养生等业态蓬勃发展，国家电子商务进农村综合示范县创建扎实推进，柞水县电子商务中心入选全省小微企业创新创业基地，全县服务业增加值增长6.9%。</w:t>
      </w:r>
    </w:p>
    <w:p>
      <w:pPr>
        <w:pStyle w:val="4"/>
        <w:keepNext w:val="0"/>
        <w:keepLines w:val="0"/>
        <w:pageBreakBefore w:val="0"/>
        <w:numPr>
          <w:ilvl w:val="0"/>
          <w:numId w:val="0"/>
        </w:numPr>
        <w:kinsoku/>
        <w:wordWrap/>
        <w:overflowPunct/>
        <w:topLinePunct w:val="0"/>
        <w:autoSpaceDE/>
        <w:autoSpaceDN/>
        <w:bidi w:val="0"/>
        <w:adjustRightInd/>
        <w:snapToGrid/>
        <w:spacing w:before="157" w:beforeLines="50" w:after="157" w:afterLines="50" w:line="620" w:lineRule="exact"/>
        <w:ind w:firstLine="600" w:firstLineChars="200"/>
        <w:jc w:val="both"/>
        <w:textAlignment w:val="auto"/>
        <w:rPr>
          <w:rFonts w:hint="eastAsia" w:ascii="黑体" w:hAnsi="黑体" w:eastAsia="黑体" w:cs="黑体"/>
          <w:b w:val="0"/>
          <w:bCs/>
          <w:sz w:val="30"/>
          <w:szCs w:val="30"/>
          <w:lang w:val="en-US" w:eastAsia="zh-CN"/>
        </w:rPr>
      </w:pPr>
      <w:bookmarkStart w:id="12" w:name="_Toc27232"/>
      <w:bookmarkStart w:id="13" w:name="_Toc8478_WPSOffice_Level1"/>
      <w:bookmarkStart w:id="14" w:name="_Toc14098"/>
      <w:bookmarkStart w:id="15" w:name="_Toc30692"/>
      <w:bookmarkStart w:id="16" w:name="_Toc8714"/>
      <w:r>
        <w:rPr>
          <w:rFonts w:hint="eastAsia" w:ascii="黑体" w:hAnsi="黑体" w:eastAsia="黑体" w:cs="黑体"/>
          <w:b w:val="0"/>
          <w:bCs/>
          <w:sz w:val="30"/>
          <w:szCs w:val="30"/>
          <w:lang w:val="en-US" w:eastAsia="zh-CN"/>
        </w:rPr>
        <w:t>三、县域经济发展中存在的问题</w:t>
      </w:r>
      <w:bookmarkEnd w:id="12"/>
      <w:bookmarkEnd w:id="13"/>
      <w:bookmarkEnd w:id="14"/>
      <w:bookmarkEnd w:id="15"/>
      <w:bookmarkEnd w:id="16"/>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Lines="0" w:after="0" w:afterLines="0" w:line="620" w:lineRule="exact"/>
        <w:ind w:firstLine="480" w:firstLineChars="200"/>
        <w:textAlignment w:val="auto"/>
        <w:rPr>
          <w:rFonts w:hint="eastAsia" w:ascii="宋体" w:hAnsi="宋体" w:eastAsia="宋体" w:cs="宋体"/>
          <w:b w:val="0"/>
          <w:bCs w:val="0"/>
          <w:spacing w:val="0"/>
          <w:kern w:val="21"/>
          <w:sz w:val="24"/>
          <w:szCs w:val="24"/>
          <w:u w:val="none"/>
          <w:lang w:val="en-US" w:eastAsia="zh-CN" w:bidi="ar-SA"/>
        </w:rPr>
      </w:pPr>
      <w:r>
        <w:rPr>
          <w:rFonts w:hint="eastAsia" w:ascii="宋体" w:hAnsi="宋体" w:eastAsia="宋体" w:cs="宋体"/>
          <w:b w:val="0"/>
          <w:bCs w:val="0"/>
          <w:spacing w:val="0"/>
          <w:kern w:val="21"/>
          <w:sz w:val="24"/>
          <w:szCs w:val="24"/>
          <w:u w:val="none"/>
          <w:lang w:val="en-US" w:eastAsia="zh-CN" w:bidi="ar-SA"/>
        </w:rPr>
        <w:t>近年来，柞水县</w:t>
      </w:r>
      <w:r>
        <w:rPr>
          <w:rFonts w:hint="eastAsia" w:ascii="宋体" w:hAnsi="宋体" w:eastAsia="宋体" w:cs="宋体"/>
          <w:spacing w:val="0"/>
          <w:kern w:val="21"/>
          <w:sz w:val="24"/>
          <w:szCs w:val="24"/>
          <w:u w:val="none"/>
          <w:lang w:val="en-US" w:eastAsia="zh-CN" w:bidi="ar-SA"/>
        </w:rPr>
        <w:t>脱贫攻坚战取得了全面胜利，但在实现乡村振兴的过程中，仍存在一些固有顽疾亟待解决。</w:t>
      </w:r>
    </w:p>
    <w:p>
      <w:pPr>
        <w:keepNext w:val="0"/>
        <w:keepLines w:val="0"/>
        <w:pageBreakBefore w:val="0"/>
        <w:widowControl w:val="0"/>
        <w:kinsoku/>
        <w:wordWrap/>
        <w:overflowPunct/>
        <w:topLinePunct w:val="0"/>
        <w:autoSpaceDE/>
        <w:autoSpaceDN/>
        <w:bidi w:val="0"/>
        <w:adjustRightInd/>
        <w:snapToGrid w:val="0"/>
        <w:spacing w:beforeLines="0" w:after="0" w:afterLines="0" w:line="620" w:lineRule="exact"/>
        <w:ind w:firstLine="560" w:firstLineChars="200"/>
        <w:textAlignment w:val="auto"/>
        <w:rPr>
          <w:rStyle w:val="23"/>
          <w:rFonts w:hint="eastAsia" w:ascii="黑体" w:hAnsi="黑体" w:eastAsia="黑体" w:cs="黑体"/>
          <w:b w:val="0"/>
          <w:bCs w:val="0"/>
          <w:i w:val="0"/>
          <w:iCs w:val="0"/>
          <w:spacing w:val="0"/>
          <w:kern w:val="21"/>
          <w:sz w:val="28"/>
          <w:szCs w:val="28"/>
          <w:u w:val="none"/>
          <w:lang w:val="en-US" w:eastAsia="zh-CN" w:bidi="ar-SA"/>
        </w:rPr>
      </w:pPr>
      <w:bookmarkStart w:id="17" w:name="_Toc11419"/>
      <w:bookmarkStart w:id="18" w:name="_Toc9393"/>
      <w:bookmarkStart w:id="19" w:name="_Toc30172"/>
      <w:bookmarkStart w:id="20" w:name="_Toc30423"/>
      <w:r>
        <w:rPr>
          <w:rStyle w:val="23"/>
          <w:rFonts w:hint="eastAsia" w:ascii="黑体" w:hAnsi="黑体" w:eastAsia="黑体" w:cs="黑体"/>
          <w:b w:val="0"/>
          <w:bCs w:val="0"/>
          <w:i w:val="0"/>
          <w:iCs w:val="0"/>
          <w:spacing w:val="0"/>
          <w:kern w:val="21"/>
          <w:sz w:val="28"/>
          <w:szCs w:val="28"/>
          <w:u w:val="none"/>
          <w:lang w:val="en-US" w:eastAsia="zh-CN" w:bidi="ar-SA"/>
        </w:rPr>
        <w:t>（一）消费贡献相对不足，主要源于收入提升有限</w:t>
      </w:r>
      <w:bookmarkEnd w:id="17"/>
      <w:bookmarkEnd w:id="18"/>
      <w:bookmarkEnd w:id="19"/>
      <w:bookmarkEnd w:id="20"/>
    </w:p>
    <w:p>
      <w:pPr>
        <w:keepNext w:val="0"/>
        <w:keepLines w:val="0"/>
        <w:pageBreakBefore w:val="0"/>
        <w:widowControl w:val="0"/>
        <w:kinsoku/>
        <w:wordWrap/>
        <w:overflowPunct/>
        <w:topLinePunct w:val="0"/>
        <w:autoSpaceDE/>
        <w:autoSpaceDN/>
        <w:bidi w:val="0"/>
        <w:adjustRightInd/>
        <w:snapToGrid w:val="0"/>
        <w:spacing w:beforeLines="0" w:after="0" w:afterLines="0" w:line="620" w:lineRule="exact"/>
        <w:ind w:firstLine="480" w:firstLineChars="200"/>
        <w:textAlignment w:val="auto"/>
        <w:rPr>
          <w:rFonts w:hint="eastAsia" w:ascii="宋体" w:hAnsi="宋体" w:eastAsia="宋体" w:cs="宋体"/>
          <w:spacing w:val="0"/>
          <w:kern w:val="21"/>
          <w:sz w:val="24"/>
          <w:szCs w:val="24"/>
          <w:u w:val="none"/>
          <w:lang w:val="en-US" w:eastAsia="zh-CN" w:bidi="ar-SA"/>
        </w:rPr>
      </w:pPr>
      <w:r>
        <w:rPr>
          <w:rFonts w:hint="eastAsia" w:ascii="宋体" w:hAnsi="宋体" w:eastAsia="宋体" w:cs="宋体"/>
          <w:spacing w:val="0"/>
          <w:kern w:val="21"/>
          <w:sz w:val="24"/>
          <w:szCs w:val="24"/>
          <w:u w:val="none"/>
          <w:lang w:val="en-US" w:eastAsia="zh-CN" w:bidi="ar-SA"/>
        </w:rPr>
        <w:t>2021年，柞水城镇常住居民人均可支配收入29600元，同比增长7.6%；农村常住居民人均可支配收入11430元，同比增长11.1%。近年来，柞水县城乡居民收入虽平稳上涨，但较全省平均水平仍有距离。当地农村居民人均可支配收入只有全省平均水平的77%，而城镇居民人均可支配收入不足全省平均水平的73%。较低的人均可支配收入在客观上限制了柞水城乡居民的消费能力，县内需增长缺乏收入基础。</w:t>
      </w:r>
    </w:p>
    <w:p>
      <w:pPr>
        <w:pStyle w:val="2"/>
        <w:jc w:val="center"/>
        <w:rPr>
          <w:rFonts w:hint="eastAsia"/>
          <w:lang w:val="en-US" w:eastAsia="zh-CN"/>
        </w:rPr>
      </w:pPr>
      <w:r>
        <w:rPr>
          <w:rFonts w:hint="eastAsia"/>
          <w:lang w:val="en-US" w:eastAsia="zh-CN"/>
        </w:rPr>
        <w:drawing>
          <wp:inline distT="0" distB="0" distL="114300" distR="114300">
            <wp:extent cx="4438650" cy="3295650"/>
            <wp:effectExtent l="0" t="0" r="0" b="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7"/>
                    <a:stretch>
                      <a:fillRect/>
                    </a:stretch>
                  </pic:blipFill>
                  <pic:spPr>
                    <a:xfrm>
                      <a:off x="0" y="0"/>
                      <a:ext cx="4438650" cy="3295650"/>
                    </a:xfrm>
                    <a:prstGeom prst="rect">
                      <a:avLst/>
                    </a:prstGeom>
                  </pic:spPr>
                </pic:pic>
              </a:graphicData>
            </a:graphic>
          </wp:inline>
        </w:drawing>
      </w:r>
    </w:p>
    <w:p>
      <w:pPr>
        <w:pStyle w:val="12"/>
        <w:keepNext w:val="0"/>
        <w:keepLines w:val="0"/>
        <w:pageBreakBefore w:val="0"/>
        <w:widowControl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Lines="0" w:beforeAutospacing="0" w:after="0" w:afterLines="0" w:afterAutospacing="0" w:line="620" w:lineRule="exact"/>
        <w:ind w:firstLine="420" w:firstLineChars="200"/>
        <w:jc w:val="center"/>
        <w:textAlignment w:val="auto"/>
        <w:rPr>
          <w:rFonts w:hint="eastAsia" w:ascii="宋体" w:hAnsi="宋体" w:eastAsia="宋体" w:cs="宋体"/>
          <w:b/>
          <w:bCs/>
          <w:spacing w:val="0"/>
          <w:kern w:val="21"/>
          <w:sz w:val="21"/>
          <w:szCs w:val="21"/>
          <w:u w:val="none"/>
          <w:lang w:val="en-US" w:eastAsia="zh-CN" w:bidi="ar-SA"/>
        </w:rPr>
      </w:pPr>
      <w:r>
        <w:rPr>
          <w:rFonts w:hint="eastAsia" w:ascii="宋体" w:hAnsi="宋体" w:eastAsia="宋体" w:cs="宋体"/>
          <w:spacing w:val="0"/>
          <w:kern w:val="21"/>
          <w:sz w:val="21"/>
          <w:szCs w:val="21"/>
          <w:u w:val="none"/>
          <w:lang w:val="en-US" w:eastAsia="zh-CN" w:bidi="ar-SA"/>
        </w:rPr>
        <w:t>图2 陕西省与柞水县城乡居民人均可支配收入对比</w:t>
      </w:r>
    </w:p>
    <w:p>
      <w:pPr>
        <w:keepNext w:val="0"/>
        <w:keepLines w:val="0"/>
        <w:pageBreakBefore w:val="0"/>
        <w:widowControl w:val="0"/>
        <w:kinsoku/>
        <w:wordWrap/>
        <w:overflowPunct/>
        <w:topLinePunct w:val="0"/>
        <w:autoSpaceDE/>
        <w:autoSpaceDN/>
        <w:bidi w:val="0"/>
        <w:adjustRightInd/>
        <w:snapToGrid/>
        <w:spacing w:beforeLines="0" w:after="0" w:afterLines="0" w:line="620" w:lineRule="exact"/>
        <w:ind w:firstLine="560" w:firstLineChars="200"/>
        <w:textAlignment w:val="auto"/>
        <w:rPr>
          <w:rStyle w:val="23"/>
          <w:rFonts w:hint="eastAsia" w:ascii="黑体" w:hAnsi="黑体" w:eastAsia="黑体" w:cs="黑体"/>
          <w:b w:val="0"/>
          <w:bCs w:val="0"/>
          <w:spacing w:val="0"/>
          <w:kern w:val="21"/>
          <w:sz w:val="28"/>
          <w:szCs w:val="28"/>
          <w:u w:val="none"/>
          <w:lang w:val="en-US" w:eastAsia="zh-CN" w:bidi="ar-SA"/>
        </w:rPr>
      </w:pPr>
      <w:bookmarkStart w:id="21" w:name="_Toc15277"/>
      <w:bookmarkStart w:id="22" w:name="_Toc24370"/>
      <w:bookmarkStart w:id="23" w:name="_Toc26533"/>
      <w:bookmarkStart w:id="24" w:name="_Toc3369"/>
      <w:r>
        <w:rPr>
          <w:rStyle w:val="23"/>
          <w:rFonts w:hint="eastAsia" w:ascii="黑体" w:hAnsi="黑体" w:eastAsia="黑体" w:cs="黑体"/>
          <w:b w:val="0"/>
          <w:bCs w:val="0"/>
          <w:spacing w:val="0"/>
          <w:kern w:val="21"/>
          <w:sz w:val="28"/>
          <w:szCs w:val="28"/>
          <w:u w:val="none"/>
          <w:lang w:val="en-US" w:eastAsia="zh-CN" w:bidi="ar-SA"/>
        </w:rPr>
        <w:t>（二）农业产业化水平不高</w:t>
      </w:r>
      <w:bookmarkEnd w:id="21"/>
      <w:bookmarkEnd w:id="22"/>
      <w:bookmarkEnd w:id="23"/>
      <w:bookmarkEnd w:id="24"/>
    </w:p>
    <w:p>
      <w:pPr>
        <w:keepNext w:val="0"/>
        <w:keepLines w:val="0"/>
        <w:pageBreakBefore w:val="0"/>
        <w:widowControl w:val="0"/>
        <w:kinsoku/>
        <w:wordWrap/>
        <w:overflowPunct/>
        <w:topLinePunct w:val="0"/>
        <w:autoSpaceDE/>
        <w:autoSpaceDN/>
        <w:bidi w:val="0"/>
        <w:adjustRightInd/>
        <w:snapToGrid/>
        <w:spacing w:beforeLines="0" w:after="0" w:afterLines="0" w:line="620" w:lineRule="exact"/>
        <w:ind w:firstLine="480" w:firstLineChars="200"/>
        <w:textAlignment w:val="auto"/>
        <w:rPr>
          <w:rFonts w:hint="eastAsia" w:ascii="宋体" w:hAnsi="宋体" w:eastAsia="宋体" w:cs="宋体"/>
          <w:spacing w:val="0"/>
          <w:kern w:val="21"/>
          <w:sz w:val="24"/>
          <w:szCs w:val="24"/>
          <w:u w:val="none"/>
          <w:lang w:val="en-US" w:eastAsia="zh-CN" w:bidi="ar-SA"/>
        </w:rPr>
      </w:pPr>
      <w:r>
        <w:rPr>
          <w:rFonts w:hint="eastAsia" w:ascii="宋体" w:hAnsi="宋体" w:eastAsia="宋体" w:cs="宋体"/>
          <w:spacing w:val="0"/>
          <w:kern w:val="21"/>
          <w:sz w:val="24"/>
          <w:szCs w:val="24"/>
          <w:u w:val="none"/>
          <w:lang w:val="en-US" w:eastAsia="zh-CN" w:bidi="ar-SA"/>
        </w:rPr>
        <w:t>虽然县内新型农业经营主体数量不断增加，但农业经营总体规模偏小、产业链条较短、农产品附加值不高、市场竞争力不强、辐射带动力不大，农业产业化进程仍需进一步加快。</w:t>
      </w:r>
    </w:p>
    <w:p>
      <w:pPr>
        <w:keepNext w:val="0"/>
        <w:keepLines w:val="0"/>
        <w:pageBreakBefore w:val="0"/>
        <w:widowControl w:val="0"/>
        <w:kinsoku/>
        <w:wordWrap/>
        <w:overflowPunct/>
        <w:topLinePunct w:val="0"/>
        <w:autoSpaceDE/>
        <w:autoSpaceDN/>
        <w:bidi w:val="0"/>
        <w:adjustRightInd/>
        <w:snapToGrid/>
        <w:spacing w:beforeLines="0" w:after="0" w:afterLines="0" w:line="620" w:lineRule="exact"/>
        <w:ind w:firstLine="560" w:firstLineChars="200"/>
        <w:textAlignment w:val="auto"/>
        <w:rPr>
          <w:rStyle w:val="23"/>
          <w:rFonts w:hint="eastAsia" w:ascii="黑体" w:hAnsi="黑体" w:eastAsia="黑体" w:cs="黑体"/>
          <w:b w:val="0"/>
          <w:bCs w:val="0"/>
          <w:spacing w:val="0"/>
          <w:kern w:val="21"/>
          <w:sz w:val="28"/>
          <w:szCs w:val="28"/>
          <w:u w:val="none"/>
          <w:lang w:val="en-US" w:eastAsia="zh-CN" w:bidi="ar-SA"/>
        </w:rPr>
      </w:pPr>
      <w:bookmarkStart w:id="25" w:name="_Toc28420"/>
      <w:bookmarkStart w:id="26" w:name="_Toc20507"/>
      <w:bookmarkStart w:id="27" w:name="_Toc19393"/>
      <w:bookmarkStart w:id="28" w:name="_Toc29739"/>
      <w:r>
        <w:rPr>
          <w:rStyle w:val="23"/>
          <w:rFonts w:hint="eastAsia" w:ascii="黑体" w:hAnsi="黑体" w:eastAsia="黑体" w:cs="黑体"/>
          <w:b w:val="0"/>
          <w:bCs w:val="0"/>
          <w:spacing w:val="0"/>
          <w:kern w:val="21"/>
          <w:sz w:val="28"/>
          <w:szCs w:val="28"/>
          <w:u w:val="none"/>
          <w:lang w:val="en-US" w:eastAsia="zh-CN" w:bidi="ar-SA"/>
        </w:rPr>
        <w:t>（</w:t>
      </w:r>
      <w:r>
        <w:rPr>
          <w:rStyle w:val="23"/>
          <w:rFonts w:hint="eastAsia" w:ascii="黑体" w:hAnsi="黑体" w:eastAsia="黑体" w:cs="黑体"/>
          <w:b w:val="0"/>
          <w:bCs w:val="0"/>
          <w:spacing w:val="0"/>
          <w:kern w:val="21"/>
          <w:sz w:val="28"/>
          <w:szCs w:val="28"/>
          <w:u w:val="none"/>
          <w:lang w:val="en-US" w:eastAsia="zh-CN" w:bidi="ar-SA"/>
        </w:rPr>
        <w:t>三）新型职业农民队伍薄弱</w:t>
      </w:r>
      <w:bookmarkEnd w:id="25"/>
      <w:bookmarkEnd w:id="26"/>
      <w:bookmarkEnd w:id="27"/>
      <w:bookmarkEnd w:id="28"/>
    </w:p>
    <w:p>
      <w:pPr>
        <w:keepNext w:val="0"/>
        <w:keepLines w:val="0"/>
        <w:pageBreakBefore w:val="0"/>
        <w:widowControl w:val="0"/>
        <w:kinsoku/>
        <w:wordWrap/>
        <w:overflowPunct/>
        <w:topLinePunct w:val="0"/>
        <w:autoSpaceDE/>
        <w:autoSpaceDN/>
        <w:bidi w:val="0"/>
        <w:adjustRightInd/>
        <w:snapToGrid/>
        <w:spacing w:beforeLines="0" w:after="0" w:afterLines="0" w:line="620" w:lineRule="exact"/>
        <w:ind w:firstLine="480" w:firstLineChars="200"/>
        <w:textAlignment w:val="auto"/>
        <w:rPr>
          <w:rFonts w:hint="eastAsia" w:ascii="宋体" w:hAnsi="宋体" w:eastAsia="宋体" w:cs="宋体"/>
          <w:spacing w:val="0"/>
          <w:kern w:val="21"/>
          <w:sz w:val="24"/>
          <w:szCs w:val="24"/>
          <w:u w:val="none"/>
          <w:lang w:val="en-US" w:eastAsia="zh-CN" w:bidi="ar-SA"/>
        </w:rPr>
      </w:pPr>
      <w:r>
        <w:rPr>
          <w:rFonts w:hint="eastAsia" w:ascii="宋体" w:hAnsi="宋体" w:eastAsia="宋体" w:cs="宋体"/>
          <w:spacing w:val="0"/>
          <w:kern w:val="21"/>
          <w:sz w:val="24"/>
          <w:szCs w:val="24"/>
          <w:u w:val="none"/>
          <w:lang w:val="en-US" w:eastAsia="zh-CN" w:bidi="ar-SA"/>
        </w:rPr>
        <w:t>新型职业农民队伍培育和培训力度不够，新时代乡村振兴的思维意识不强，发展的大局观念不强，发展的长远眼光不足，存在“见子打子”、“单兵作战”的传统方式，不适应新时代生产力发展水平，缺乏现代化生产经营管理能力。对于提高农业劳动者的思想道德素质和科技文化素质，使农业劳动者熟悉农业生产的相关政策和法律知识，掌握农业实用新技术，提高劳动新技能，培育现代化农业新思想，融入现代化农业发展新进程的需要十分迫切。</w:t>
      </w:r>
    </w:p>
    <w:p>
      <w:pPr>
        <w:keepNext w:val="0"/>
        <w:keepLines w:val="0"/>
        <w:pageBreakBefore w:val="0"/>
        <w:widowControl w:val="0"/>
        <w:kinsoku/>
        <w:wordWrap/>
        <w:overflowPunct/>
        <w:topLinePunct w:val="0"/>
        <w:autoSpaceDE/>
        <w:autoSpaceDN/>
        <w:bidi w:val="0"/>
        <w:adjustRightInd/>
        <w:snapToGrid/>
        <w:spacing w:beforeLines="0" w:after="0" w:afterLines="0" w:line="620" w:lineRule="exact"/>
        <w:ind w:firstLine="560" w:firstLineChars="200"/>
        <w:textAlignment w:val="auto"/>
        <w:rPr>
          <w:rStyle w:val="23"/>
          <w:rFonts w:hint="eastAsia" w:ascii="黑体" w:hAnsi="黑体" w:eastAsia="黑体" w:cs="黑体"/>
          <w:b w:val="0"/>
          <w:bCs w:val="0"/>
          <w:spacing w:val="0"/>
          <w:kern w:val="21"/>
          <w:sz w:val="28"/>
          <w:szCs w:val="28"/>
          <w:u w:val="none"/>
          <w:lang w:val="en-US" w:eastAsia="zh-CN" w:bidi="ar-SA"/>
        </w:rPr>
      </w:pPr>
      <w:bookmarkStart w:id="29" w:name="_Toc23523"/>
      <w:bookmarkStart w:id="30" w:name="_Toc4658"/>
      <w:bookmarkStart w:id="31" w:name="_Toc4912"/>
      <w:bookmarkStart w:id="32" w:name="_Toc12148"/>
      <w:r>
        <w:rPr>
          <w:rStyle w:val="23"/>
          <w:rFonts w:hint="eastAsia" w:ascii="黑体" w:hAnsi="黑体" w:eastAsia="黑体" w:cs="黑体"/>
          <w:b w:val="0"/>
          <w:bCs w:val="0"/>
          <w:spacing w:val="0"/>
          <w:kern w:val="21"/>
          <w:sz w:val="28"/>
          <w:szCs w:val="28"/>
          <w:u w:val="none"/>
          <w:lang w:val="en-US" w:eastAsia="zh-CN" w:bidi="ar-SA"/>
        </w:rPr>
        <w:t>（四）乡风文明建设有待加强</w:t>
      </w:r>
      <w:bookmarkEnd w:id="29"/>
      <w:bookmarkEnd w:id="30"/>
      <w:bookmarkEnd w:id="31"/>
      <w:bookmarkEnd w:id="32"/>
    </w:p>
    <w:p>
      <w:pPr>
        <w:keepNext w:val="0"/>
        <w:keepLines w:val="0"/>
        <w:pageBreakBefore w:val="0"/>
        <w:widowControl w:val="0"/>
        <w:kinsoku/>
        <w:wordWrap/>
        <w:overflowPunct/>
        <w:topLinePunct w:val="0"/>
        <w:autoSpaceDE/>
        <w:autoSpaceDN/>
        <w:bidi w:val="0"/>
        <w:adjustRightInd/>
        <w:snapToGrid/>
        <w:spacing w:beforeLines="0" w:after="0" w:afterLines="0" w:line="620" w:lineRule="exact"/>
        <w:ind w:firstLine="480" w:firstLineChars="200"/>
        <w:textAlignment w:val="auto"/>
        <w:rPr>
          <w:rFonts w:hint="eastAsia" w:ascii="宋体" w:hAnsi="宋体" w:eastAsia="宋体" w:cs="宋体"/>
          <w:spacing w:val="0"/>
          <w:kern w:val="21"/>
          <w:sz w:val="24"/>
          <w:szCs w:val="24"/>
          <w:u w:val="none"/>
          <w:lang w:val="en-US" w:eastAsia="zh-CN" w:bidi="ar-SA"/>
        </w:rPr>
      </w:pPr>
      <w:r>
        <w:rPr>
          <w:rFonts w:hint="eastAsia" w:ascii="宋体" w:hAnsi="宋体" w:eastAsia="宋体" w:cs="宋体"/>
          <w:spacing w:val="0"/>
          <w:kern w:val="21"/>
          <w:sz w:val="24"/>
          <w:szCs w:val="24"/>
          <w:u w:val="none"/>
          <w:lang w:val="en-US" w:eastAsia="zh-CN" w:bidi="ar-SA"/>
        </w:rPr>
        <w:t>部分村民的自治意识、自我管理的能力不强，没有形成良好的卫生习惯意识，部分农村存在娱乐活动单一、文化阵地建设滞后、示范带动作用发挥不充分等问题。推动移风易俗、进行法治德治教育、丰富文化活动、深化文明创建的工作力度仍需进一步提升。</w:t>
      </w:r>
    </w:p>
    <w:p>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20" w:lineRule="exact"/>
        <w:ind w:firstLine="600" w:firstLineChars="200"/>
        <w:jc w:val="both"/>
        <w:textAlignment w:val="auto"/>
        <w:rPr>
          <w:rFonts w:hint="eastAsia" w:ascii="黑体" w:hAnsi="黑体" w:eastAsia="黑体" w:cs="黑体"/>
          <w:b w:val="0"/>
          <w:bCs/>
          <w:sz w:val="30"/>
          <w:szCs w:val="30"/>
          <w:lang w:val="en-US" w:eastAsia="zh-CN"/>
        </w:rPr>
      </w:pPr>
      <w:bookmarkStart w:id="33" w:name="_Toc14262"/>
      <w:bookmarkStart w:id="34" w:name="_Toc11585"/>
      <w:bookmarkStart w:id="35" w:name="_Toc20347"/>
      <w:bookmarkStart w:id="36" w:name="_Toc23471_WPSOffice_Level1"/>
      <w:bookmarkStart w:id="37" w:name="_Toc24800"/>
      <w:r>
        <w:rPr>
          <w:rFonts w:hint="eastAsia" w:ascii="黑体" w:hAnsi="黑体" w:eastAsia="黑体" w:cs="黑体"/>
          <w:b w:val="0"/>
          <w:bCs/>
          <w:sz w:val="30"/>
          <w:szCs w:val="30"/>
          <w:lang w:val="en-US" w:eastAsia="zh-CN"/>
        </w:rPr>
        <w:t>四、证券业助力乡村振兴的举措</w:t>
      </w:r>
      <w:bookmarkEnd w:id="33"/>
      <w:bookmarkEnd w:id="34"/>
      <w:bookmarkEnd w:id="35"/>
      <w:bookmarkEnd w:id="36"/>
      <w:bookmarkEnd w:id="37"/>
    </w:p>
    <w:p>
      <w:pPr>
        <w:pStyle w:val="3"/>
        <w:keepNext w:val="0"/>
        <w:keepLines w:val="0"/>
        <w:pageBreakBefore w:val="0"/>
        <w:widowControl w:val="0"/>
        <w:kinsoku/>
        <w:wordWrap/>
        <w:overflowPunct/>
        <w:topLinePunct w:val="0"/>
        <w:autoSpaceDE/>
        <w:autoSpaceDN/>
        <w:bidi w:val="0"/>
        <w:adjustRightInd/>
        <w:snapToGrid/>
        <w:spacing w:beforeLines="0" w:afterLines="0" w:line="620" w:lineRule="exact"/>
        <w:ind w:left="0" w:leftChars="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2015年国务院发布的《中共中央国务院关于打赢脱贫攻坚战的决定》明确表示要加大金融扶贫力度。此后，证监会和证券业协会等行业监管机构、自律组织都出台了相关规定。2016年8月，中国证券业协会发出倡议：开展“一司一县”结对帮扶行动，每家证券公司至少结对帮扶一个国家级贫困县。证券行业按照证监会统一部署，积极响应协会发起的“一司一县”行动倡议，认真履行社会责任，持续加大公益投入。102家证券公司结对帮扶的307个国家级贫困县在2020年全部脱贫摘帽，5年来累计公益性支出27.6亿元。行业目前已有20家证券公司参与设立公益基金会20个，累计捐赠资金达15.6亿元；共有46家证券公司出资设立35只公益基金，累计规模超过2.5亿元。证券行业开展公益项目涵盖扶贫济困、生态保护、抗疫救灾、助医助学等领域，公益事业活动已初具规模，为接续助力乡村振兴、促进共同富裕积累了实践经验。</w:t>
      </w:r>
    </w:p>
    <w:p>
      <w:pPr>
        <w:pStyle w:val="3"/>
        <w:keepNext w:val="0"/>
        <w:keepLines w:val="0"/>
        <w:pageBreakBefore w:val="0"/>
        <w:widowControl w:val="0"/>
        <w:kinsoku/>
        <w:wordWrap/>
        <w:overflowPunct/>
        <w:topLinePunct w:val="0"/>
        <w:autoSpaceDE/>
        <w:autoSpaceDN/>
        <w:bidi w:val="0"/>
        <w:adjustRightInd/>
        <w:snapToGrid/>
        <w:spacing w:beforeLines="0" w:afterLines="0" w:line="620" w:lineRule="exact"/>
        <w:ind w:left="0" w:leftChars="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2021年10月29日，证券行业促进乡村振兴公益行动启动仪式在京举行。52家证券公司签署《证券行业促进乡村振兴公益行动发起人协议》，首期承诺公益投入3.3亿元，将以巩固“一司一县”脱贫成果为重点，开展专业服务和公益活动，助力乡村振兴，促进共同富裕。截至目前，共有102 家证券公司结对帮扶 323 个脱贫县。其中，54 家证券公司结对帮扶70个国家乡村振兴重点帮扶县。</w:t>
      </w:r>
    </w:p>
    <w:p>
      <w:pPr>
        <w:pStyle w:val="2"/>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1"/>
          <w:szCs w:val="21"/>
          <w:lang w:val="en-US" w:eastAsia="zh-CN" w:bidi="ar-SA"/>
        </w:rPr>
        <w:drawing>
          <wp:anchor distT="0" distB="0" distL="114300" distR="114300" simplePos="0" relativeHeight="251663360" behindDoc="0" locked="0" layoutInCell="1" allowOverlap="1">
            <wp:simplePos x="0" y="0"/>
            <wp:positionH relativeFrom="column">
              <wp:posOffset>357505</wp:posOffset>
            </wp:positionH>
            <wp:positionV relativeFrom="paragraph">
              <wp:posOffset>185420</wp:posOffset>
            </wp:positionV>
            <wp:extent cx="4717415" cy="3267075"/>
            <wp:effectExtent l="4445" t="4445" r="21590" b="5080"/>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宋体" w:hAnsi="宋体" w:eastAsia="宋体" w:cs="宋体"/>
          <w:kern w:val="2"/>
          <w:sz w:val="21"/>
          <w:szCs w:val="21"/>
          <w:lang w:val="en-US" w:eastAsia="zh-CN" w:bidi="ar-SA"/>
        </w:rPr>
        <w:t>图3 证券公司“一司一县”结对帮扶个数</w:t>
      </w:r>
    </w:p>
    <w:p>
      <w:pPr>
        <w:pStyle w:val="2"/>
        <w:keepNext w:val="0"/>
        <w:keepLines w:val="0"/>
        <w:pageBreakBefore w:val="0"/>
        <w:widowControl w:val="0"/>
        <w:kinsoku/>
        <w:wordWrap/>
        <w:overflowPunct/>
        <w:topLinePunct w:val="0"/>
        <w:autoSpaceDE/>
        <w:autoSpaceDN/>
        <w:bidi w:val="0"/>
        <w:adjustRightInd/>
        <w:snapToGrid/>
        <w:spacing w:beforeLines="0" w:after="0" w:afterLines="0" w:line="62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作为资本市场重要参与机构之一，证券公司结合行业特征和自身优势，通过各类专业化措施并举，助推乡村企业发展：</w:t>
      </w:r>
    </w:p>
    <w:p>
      <w:pPr>
        <w:pStyle w:val="3"/>
        <w:keepNext w:val="0"/>
        <w:keepLines w:val="0"/>
        <w:pageBreakBefore w:val="0"/>
        <w:widowControl w:val="0"/>
        <w:kinsoku/>
        <w:wordWrap/>
        <w:overflowPunct/>
        <w:topLinePunct w:val="0"/>
        <w:autoSpaceDE/>
        <w:autoSpaceDN/>
        <w:bidi w:val="0"/>
        <w:adjustRightInd/>
        <w:snapToGrid/>
        <w:spacing w:beforeLines="0" w:afterLines="0" w:line="620" w:lineRule="exact"/>
        <w:ind w:left="0" w:leftChars="0" w:firstLine="560" w:firstLineChars="200"/>
        <w:textAlignment w:val="auto"/>
        <w:rPr>
          <w:rStyle w:val="23"/>
          <w:rFonts w:hint="eastAsia" w:ascii="黑体" w:hAnsi="黑体" w:eastAsia="黑体" w:cs="黑体"/>
          <w:b w:val="0"/>
          <w:bCs w:val="0"/>
          <w:kern w:val="2"/>
          <w:sz w:val="28"/>
          <w:szCs w:val="28"/>
          <w:lang w:val="en-US" w:eastAsia="zh-CN" w:bidi="ar-SA"/>
        </w:rPr>
      </w:pPr>
      <w:bookmarkStart w:id="38" w:name="_Toc17682"/>
      <w:bookmarkStart w:id="39" w:name="_Toc17129"/>
      <w:bookmarkStart w:id="40" w:name="_Toc23667"/>
      <w:bookmarkStart w:id="41" w:name="_Toc11061"/>
      <w:r>
        <w:rPr>
          <w:rStyle w:val="23"/>
          <w:rFonts w:hint="eastAsia" w:ascii="黑体" w:hAnsi="黑体" w:eastAsia="黑体" w:cs="黑体"/>
          <w:b w:val="0"/>
          <w:bCs w:val="0"/>
          <w:kern w:val="2"/>
          <w:sz w:val="28"/>
          <w:szCs w:val="28"/>
          <w:lang w:val="en-US" w:eastAsia="zh-CN" w:bidi="ar-SA"/>
        </w:rPr>
        <w:t>（一）借助国内多层次股权融资市场，助力乡村企业直接融资</w:t>
      </w:r>
      <w:bookmarkEnd w:id="38"/>
      <w:bookmarkEnd w:id="39"/>
      <w:bookmarkEnd w:id="40"/>
      <w:bookmarkEnd w:id="41"/>
    </w:p>
    <w:p>
      <w:pPr>
        <w:pStyle w:val="3"/>
        <w:keepNext w:val="0"/>
        <w:keepLines w:val="0"/>
        <w:pageBreakBefore w:val="0"/>
        <w:widowControl w:val="0"/>
        <w:kinsoku/>
        <w:wordWrap/>
        <w:overflowPunct/>
        <w:topLinePunct w:val="0"/>
        <w:autoSpaceDE/>
        <w:autoSpaceDN/>
        <w:bidi w:val="0"/>
        <w:adjustRightInd/>
        <w:snapToGrid/>
        <w:spacing w:beforeLines="0" w:afterLines="0" w:line="620" w:lineRule="exact"/>
        <w:ind w:left="0" w:leftChars="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我国目前的股权融资市场已经较为完备，包括主板 市场、创业板、科创板、北交所、新三板、区域股权交易中心以及其他场外交易市场。在过往扶贫经验的基础上，证券公司综合运用承销保荐、并购重组、财务顾问等手段，为贫困地区企业规范公司治理、改善融资状况提供专业服务。例如：</w:t>
      </w:r>
      <w:r>
        <w:rPr>
          <w:rFonts w:hint="eastAsia" w:ascii="宋体" w:hAnsi="宋体" w:eastAsia="宋体" w:cs="宋体"/>
          <w:kern w:val="2"/>
          <w:sz w:val="24"/>
          <w:szCs w:val="24"/>
          <w:vertAlign w:val="baseline"/>
          <w:lang w:val="en-US" w:eastAsia="zh-CN" w:bidi="ar-SA"/>
        </w:rPr>
        <w:t>中泰证券保荐承销的陕西盘龙药业集团股份有限公司在深圳证券交易所挂牌上市，发行股票2167万股，成功募集资金2.17亿元，为其生产线扩建、研发中心扩建、营销网络扩建及信息系统升级建设等项目建设提供了资金支持。</w:t>
      </w:r>
    </w:p>
    <w:p>
      <w:pPr>
        <w:keepNext w:val="0"/>
        <w:keepLines w:val="0"/>
        <w:pageBreakBefore w:val="0"/>
        <w:widowControl w:val="0"/>
        <w:kinsoku/>
        <w:wordWrap/>
        <w:overflowPunct/>
        <w:topLinePunct w:val="0"/>
        <w:autoSpaceDE/>
        <w:autoSpaceDN/>
        <w:bidi w:val="0"/>
        <w:adjustRightInd/>
        <w:snapToGrid/>
        <w:spacing w:beforeLines="0" w:afterLines="0" w:line="620" w:lineRule="exact"/>
        <w:ind w:firstLine="560" w:firstLineChars="200"/>
        <w:textAlignment w:val="auto"/>
        <w:rPr>
          <w:rStyle w:val="23"/>
          <w:rFonts w:hint="eastAsia" w:ascii="黑体" w:hAnsi="黑体" w:eastAsia="黑体" w:cs="黑体"/>
          <w:b w:val="0"/>
          <w:bCs w:val="0"/>
          <w:kern w:val="2"/>
          <w:sz w:val="28"/>
          <w:szCs w:val="28"/>
          <w:lang w:val="en-US" w:eastAsia="zh-CN" w:bidi="ar-SA"/>
        </w:rPr>
      </w:pPr>
      <w:bookmarkStart w:id="42" w:name="_Toc17171"/>
      <w:bookmarkStart w:id="43" w:name="_Toc10912"/>
      <w:bookmarkStart w:id="44" w:name="_Toc27953"/>
      <w:bookmarkStart w:id="45" w:name="_Toc3701"/>
      <w:r>
        <w:rPr>
          <w:rStyle w:val="23"/>
          <w:rFonts w:hint="eastAsia" w:ascii="黑体" w:hAnsi="黑体" w:eastAsia="黑体" w:cs="黑体"/>
          <w:b w:val="0"/>
          <w:bCs w:val="0"/>
          <w:kern w:val="2"/>
          <w:sz w:val="28"/>
          <w:szCs w:val="28"/>
          <w:lang w:val="en-US" w:eastAsia="zh-CN" w:bidi="ar-SA"/>
        </w:rPr>
        <w:t>（二）推动债权融资</w:t>
      </w:r>
      <w:bookmarkEnd w:id="42"/>
      <w:bookmarkEnd w:id="43"/>
      <w:bookmarkEnd w:id="44"/>
      <w:bookmarkEnd w:id="45"/>
    </w:p>
    <w:p>
      <w:pPr>
        <w:keepNext w:val="0"/>
        <w:keepLines w:val="0"/>
        <w:pageBreakBefore w:val="0"/>
        <w:widowControl w:val="0"/>
        <w:kinsoku/>
        <w:wordWrap/>
        <w:overflowPunct/>
        <w:topLinePunct w:val="0"/>
        <w:autoSpaceDE/>
        <w:autoSpaceDN/>
        <w:bidi w:val="0"/>
        <w:adjustRightInd/>
        <w:snapToGrid/>
        <w:spacing w:beforeLines="0" w:afterLines="0" w:line="62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目前，中国债券市场总存量已经超过了120万亿元，充分利用债券市场融资对于乡村振兴尤其重要。例如，中泰证券主承销贵州省黔南州停车场专项债项目，募集资金全部用于黔南州城市风景区旅游集散中心停车场及配套设施建设；中泰期货在黑龙江桦川县等地推进农产品期货+保险等多个项目，推动贫困地区经济与资本市场深度对接，以点带面推动当地经济可持续发展。</w:t>
      </w:r>
    </w:p>
    <w:p>
      <w:pPr>
        <w:pStyle w:val="2"/>
        <w:keepNext w:val="0"/>
        <w:keepLines w:val="0"/>
        <w:pageBreakBefore w:val="0"/>
        <w:widowControl w:val="0"/>
        <w:kinsoku/>
        <w:wordWrap/>
        <w:overflowPunct/>
        <w:topLinePunct w:val="0"/>
        <w:autoSpaceDE/>
        <w:autoSpaceDN/>
        <w:bidi w:val="0"/>
        <w:adjustRightInd/>
        <w:snapToGrid/>
        <w:spacing w:beforeLines="0" w:after="0" w:afterLines="0" w:line="620" w:lineRule="exact"/>
        <w:ind w:firstLine="560" w:firstLineChars="200"/>
        <w:jc w:val="left"/>
        <w:textAlignment w:val="auto"/>
        <w:rPr>
          <w:rStyle w:val="23"/>
          <w:rFonts w:hint="eastAsia" w:ascii="宋体" w:hAnsi="宋体" w:eastAsia="宋体" w:cs="宋体"/>
          <w:b/>
          <w:bCs/>
          <w:kern w:val="2"/>
          <w:sz w:val="24"/>
          <w:szCs w:val="24"/>
          <w:lang w:val="en-US" w:eastAsia="zh-CN" w:bidi="ar-SA"/>
        </w:rPr>
      </w:pPr>
      <w:bookmarkStart w:id="46" w:name="_Toc26220"/>
      <w:bookmarkStart w:id="47" w:name="_Toc4661"/>
      <w:bookmarkStart w:id="48" w:name="_Toc7689"/>
      <w:bookmarkStart w:id="49" w:name="_Toc10380"/>
      <w:r>
        <w:rPr>
          <w:rStyle w:val="23"/>
          <w:rFonts w:hint="eastAsia" w:ascii="黑体" w:hAnsi="黑体" w:eastAsia="黑体" w:cs="黑体"/>
          <w:b w:val="0"/>
          <w:bCs w:val="0"/>
          <w:kern w:val="2"/>
          <w:sz w:val="28"/>
          <w:szCs w:val="28"/>
          <w:lang w:val="en-US" w:eastAsia="zh-CN" w:bidi="ar-SA"/>
        </w:rPr>
        <w:t>（三）助力乡村发展特色产业</w:t>
      </w:r>
      <w:bookmarkEnd w:id="46"/>
      <w:bookmarkEnd w:id="47"/>
      <w:bookmarkEnd w:id="48"/>
      <w:bookmarkEnd w:id="49"/>
    </w:p>
    <w:p>
      <w:pPr>
        <w:pStyle w:val="2"/>
        <w:keepNext w:val="0"/>
        <w:keepLines w:val="0"/>
        <w:pageBreakBefore w:val="0"/>
        <w:widowControl w:val="0"/>
        <w:kinsoku/>
        <w:wordWrap/>
        <w:overflowPunct/>
        <w:topLinePunct w:val="0"/>
        <w:autoSpaceDE/>
        <w:autoSpaceDN/>
        <w:bidi w:val="0"/>
        <w:adjustRightInd/>
        <w:snapToGrid/>
        <w:spacing w:beforeLines="0" w:after="0" w:afterLines="0" w:line="620" w:lineRule="exact"/>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证券业助力贫困地区打造特色产业品牌，协助贫困地区发展特色产业，实现转型升级。证券公司深耕资本市场，凭借其投行业务、研究业务经验带来的对市场走势、行业经济发展方向的深刻认知，在助力贫困地区品牌经济发展的过程中，着力在特色产业项目上下功夫。根据各贫困地区的资源特点因地制宜，积极探索可复制、收益高的贫困地区企业发展模式，激发贫困县的内生动能，帮助贫困地区企业规范公司治理，协助贫困地区发展特色产业，带动当地经济发展和脱贫致富。</w:t>
      </w:r>
    </w:p>
    <w:p>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20" w:lineRule="exact"/>
        <w:ind w:firstLine="600" w:firstLineChars="200"/>
        <w:jc w:val="both"/>
        <w:textAlignment w:val="auto"/>
        <w:rPr>
          <w:rFonts w:hint="eastAsia" w:ascii="黑体" w:hAnsi="黑体" w:eastAsia="黑体" w:cs="黑体"/>
          <w:b w:val="0"/>
          <w:bCs/>
          <w:sz w:val="30"/>
          <w:szCs w:val="30"/>
          <w:lang w:val="en-US" w:eastAsia="zh-CN"/>
        </w:rPr>
      </w:pPr>
      <w:bookmarkStart w:id="50" w:name="_Toc31649_WPSOffice_Level1"/>
      <w:bookmarkStart w:id="51" w:name="_Toc790"/>
      <w:bookmarkStart w:id="52" w:name="_Toc9799"/>
      <w:bookmarkStart w:id="53" w:name="_Toc16229"/>
      <w:bookmarkStart w:id="54" w:name="_Toc29925"/>
      <w:r>
        <w:rPr>
          <w:rFonts w:hint="eastAsia" w:ascii="黑体" w:hAnsi="黑体" w:eastAsia="黑体" w:cs="黑体"/>
          <w:b w:val="0"/>
          <w:bCs/>
          <w:sz w:val="30"/>
          <w:szCs w:val="30"/>
          <w:lang w:val="en-US" w:eastAsia="zh-CN"/>
        </w:rPr>
        <w:t>五、中泰证券助力柞水县产业振兴做法</w:t>
      </w:r>
      <w:bookmarkEnd w:id="50"/>
      <w:bookmarkEnd w:id="51"/>
      <w:bookmarkEnd w:id="52"/>
      <w:bookmarkEnd w:id="53"/>
      <w:bookmarkEnd w:id="54"/>
    </w:p>
    <w:p>
      <w:pPr>
        <w:spacing w:beforeLines="0" w:afterLines="0" w:line="620" w:lineRule="exact"/>
        <w:ind w:firstLine="480" w:firstLineChars="200"/>
        <w:jc w:val="left"/>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caps w:val="0"/>
          <w:color w:val="auto"/>
          <w:spacing w:val="0"/>
          <w:sz w:val="24"/>
          <w:szCs w:val="24"/>
          <w:u w:val="none"/>
          <w:shd w:val="clear" w:fill="FFFFFF"/>
        </w:rPr>
        <w:fldChar w:fldCharType="begin"/>
      </w:r>
      <w:r>
        <w:rPr>
          <w:rFonts w:hint="eastAsia" w:ascii="宋体" w:hAnsi="宋体" w:eastAsia="宋体" w:cs="宋体"/>
          <w:i w:val="0"/>
          <w:caps w:val="0"/>
          <w:color w:val="auto"/>
          <w:spacing w:val="0"/>
          <w:sz w:val="24"/>
          <w:szCs w:val="24"/>
          <w:u w:val="none"/>
          <w:shd w:val="clear" w:fill="FFFFFF"/>
        </w:rPr>
        <w:instrText xml:space="preserve"> HYPERLINK "https://baike.so.com/doc/6072567-6285642.html" \t "https://baike.so.com/doc/_blank" </w:instrText>
      </w:r>
      <w:r>
        <w:rPr>
          <w:rFonts w:hint="eastAsia" w:ascii="宋体" w:hAnsi="宋体" w:eastAsia="宋体" w:cs="宋体"/>
          <w:i w:val="0"/>
          <w:caps w:val="0"/>
          <w:color w:val="auto"/>
          <w:spacing w:val="0"/>
          <w:sz w:val="24"/>
          <w:szCs w:val="24"/>
          <w:u w:val="none"/>
          <w:shd w:val="clear" w:fill="FFFFFF"/>
        </w:rPr>
        <w:fldChar w:fldCharType="separate"/>
      </w:r>
      <w:r>
        <w:rPr>
          <w:rStyle w:val="17"/>
          <w:rFonts w:hint="eastAsia" w:ascii="宋体" w:hAnsi="宋体" w:eastAsia="宋体" w:cs="宋体"/>
          <w:i w:val="0"/>
          <w:caps w:val="0"/>
          <w:color w:val="auto"/>
          <w:spacing w:val="0"/>
          <w:sz w:val="24"/>
          <w:szCs w:val="24"/>
          <w:u w:val="none"/>
          <w:shd w:val="clear" w:fill="FFFFFF"/>
        </w:rPr>
        <w:t>产业</w:t>
      </w:r>
      <w:r>
        <w:rPr>
          <w:rFonts w:hint="eastAsia" w:ascii="宋体" w:hAnsi="宋体" w:eastAsia="宋体" w:cs="宋体"/>
          <w:i w:val="0"/>
          <w:caps w:val="0"/>
          <w:color w:val="auto"/>
          <w:spacing w:val="0"/>
          <w:sz w:val="24"/>
          <w:szCs w:val="24"/>
          <w:u w:val="none"/>
          <w:shd w:val="clear" w:fill="FFFFFF"/>
        </w:rPr>
        <w:fldChar w:fldCharType="end"/>
      </w:r>
      <w:r>
        <w:rPr>
          <w:rFonts w:hint="eastAsia" w:ascii="宋体" w:hAnsi="宋体" w:eastAsia="宋体" w:cs="宋体"/>
          <w:i w:val="0"/>
          <w:caps w:val="0"/>
          <w:color w:val="auto"/>
          <w:spacing w:val="0"/>
          <w:sz w:val="24"/>
          <w:szCs w:val="24"/>
          <w:u w:val="none"/>
          <w:shd w:val="clear" w:fill="FFFFFF"/>
        </w:rPr>
        <w:fldChar w:fldCharType="begin"/>
      </w:r>
      <w:r>
        <w:rPr>
          <w:rFonts w:hint="eastAsia" w:ascii="宋体" w:hAnsi="宋体" w:eastAsia="宋体" w:cs="宋体"/>
          <w:i w:val="0"/>
          <w:caps w:val="0"/>
          <w:color w:val="auto"/>
          <w:spacing w:val="0"/>
          <w:sz w:val="24"/>
          <w:szCs w:val="24"/>
          <w:u w:val="none"/>
          <w:shd w:val="clear" w:fill="FFFFFF"/>
        </w:rPr>
        <w:instrText xml:space="preserve"> HYPERLINK "https://baike.so.com/doc/6258507-6471923.html" \t "https://baike.so.com/doc/_blank" </w:instrText>
      </w:r>
      <w:r>
        <w:rPr>
          <w:rFonts w:hint="eastAsia" w:ascii="宋体" w:hAnsi="宋体" w:eastAsia="宋体" w:cs="宋体"/>
          <w:i w:val="0"/>
          <w:caps w:val="0"/>
          <w:color w:val="auto"/>
          <w:spacing w:val="0"/>
          <w:sz w:val="24"/>
          <w:szCs w:val="24"/>
          <w:u w:val="none"/>
          <w:shd w:val="clear" w:fill="FFFFFF"/>
        </w:rPr>
        <w:fldChar w:fldCharType="separate"/>
      </w:r>
      <w:r>
        <w:rPr>
          <w:rStyle w:val="17"/>
          <w:rFonts w:hint="eastAsia" w:ascii="宋体" w:hAnsi="宋体" w:eastAsia="宋体" w:cs="宋体"/>
          <w:i w:val="0"/>
          <w:caps w:val="0"/>
          <w:color w:val="auto"/>
          <w:spacing w:val="0"/>
          <w:sz w:val="24"/>
          <w:szCs w:val="24"/>
          <w:u w:val="none"/>
          <w:shd w:val="clear" w:fill="FFFFFF"/>
        </w:rPr>
        <w:t>振兴</w:t>
      </w:r>
      <w:r>
        <w:rPr>
          <w:rFonts w:hint="eastAsia" w:ascii="宋体" w:hAnsi="宋体" w:eastAsia="宋体" w:cs="宋体"/>
          <w:i w:val="0"/>
          <w:caps w:val="0"/>
          <w:color w:val="auto"/>
          <w:spacing w:val="0"/>
          <w:sz w:val="24"/>
          <w:szCs w:val="24"/>
          <w:u w:val="none"/>
          <w:shd w:val="clear" w:fill="FFFFFF"/>
        </w:rPr>
        <w:fldChar w:fldCharType="end"/>
      </w:r>
      <w:r>
        <w:rPr>
          <w:rFonts w:hint="eastAsia" w:ascii="宋体" w:hAnsi="宋体" w:eastAsia="宋体" w:cs="宋体"/>
          <w:i w:val="0"/>
          <w:caps w:val="0"/>
          <w:color w:val="333333"/>
          <w:spacing w:val="0"/>
          <w:sz w:val="24"/>
          <w:szCs w:val="24"/>
          <w:shd w:val="clear" w:fill="FFFFFF"/>
        </w:rPr>
        <w:t>是乡村振兴的物质基础，乡村产业振兴，就是要形成绿色安全、优质高效的乡村产业体系，为农民持续增收提供坚实的产业支撑。</w:t>
      </w:r>
      <w:r>
        <w:rPr>
          <w:rFonts w:hint="eastAsia" w:ascii="宋体" w:hAnsi="宋体" w:eastAsia="宋体" w:cs="宋体"/>
          <w:i w:val="0"/>
          <w:caps w:val="0"/>
          <w:color w:val="333333"/>
          <w:spacing w:val="0"/>
          <w:sz w:val="24"/>
          <w:szCs w:val="24"/>
          <w:shd w:val="clear" w:fill="FFFFFF"/>
          <w:lang w:eastAsia="zh-CN"/>
        </w:rPr>
        <w:t>自</w:t>
      </w:r>
      <w:r>
        <w:rPr>
          <w:rFonts w:hint="eastAsia" w:ascii="宋体" w:hAnsi="宋体" w:eastAsia="宋体" w:cs="宋体"/>
          <w:kern w:val="2"/>
          <w:sz w:val="24"/>
          <w:szCs w:val="24"/>
          <w:vertAlign w:val="baseline"/>
          <w:lang w:val="en-US" w:eastAsia="zh-CN" w:bidi="ar-SA"/>
        </w:rPr>
        <w:t>中证协提出“一司一县”结对帮扶贫困县行动、</w:t>
      </w:r>
      <w:r>
        <w:rPr>
          <w:rFonts w:hint="eastAsia" w:ascii="宋体" w:hAnsi="宋体" w:eastAsia="宋体" w:cs="宋体"/>
          <w:i w:val="0"/>
          <w:caps w:val="0"/>
          <w:color w:val="333333"/>
          <w:spacing w:val="0"/>
          <w:sz w:val="24"/>
          <w:szCs w:val="24"/>
          <w:shd w:val="clear" w:fill="FFFFFF"/>
          <w:lang w:val="en-US" w:eastAsia="zh-CN"/>
        </w:rPr>
        <w:t>证券行业促进乡村振兴公益行动后，</w:t>
      </w:r>
      <w:r>
        <w:rPr>
          <w:rFonts w:hint="eastAsia" w:ascii="宋体" w:hAnsi="宋体" w:eastAsia="宋体" w:cs="宋体"/>
          <w:kern w:val="2"/>
          <w:sz w:val="24"/>
          <w:szCs w:val="24"/>
          <w:vertAlign w:val="baseline"/>
          <w:lang w:val="en-US" w:eastAsia="zh-CN" w:bidi="ar-SA"/>
        </w:rPr>
        <w:t>中泰证券第一时间积极响应，始终以高度的政治责任感和社会使命感，以满腔的热情和扎实有效的措施，积极投入到结对帮扶工作之中。截止到目前，中泰证券已与15个欠发达县区签约乡村振兴结对帮扶协议。</w:t>
      </w:r>
    </w:p>
    <w:p>
      <w:pPr>
        <w:pStyle w:val="2"/>
        <w:rPr>
          <w:rFonts w:hint="eastAsia" w:ascii="宋体" w:hAnsi="宋体" w:eastAsia="宋体" w:cs="宋体"/>
          <w:kern w:val="2"/>
          <w:sz w:val="24"/>
          <w:szCs w:val="24"/>
          <w:vertAlign w:val="baseline"/>
          <w:lang w:val="en-US" w:eastAsia="zh-CN" w:bidi="ar-SA"/>
        </w:rPr>
      </w:pPr>
    </w:p>
    <w:p>
      <w:pPr>
        <w:pStyle w:val="3"/>
        <w:rPr>
          <w:rFonts w:hint="eastAsia" w:ascii="宋体" w:hAnsi="宋体" w:eastAsia="宋体" w:cs="宋体"/>
          <w:kern w:val="2"/>
          <w:sz w:val="24"/>
          <w:szCs w:val="24"/>
          <w:vertAlign w:val="baseline"/>
          <w:lang w:val="en-US" w:eastAsia="zh-CN" w:bidi="ar-SA"/>
        </w:rPr>
      </w:pPr>
    </w:p>
    <w:p>
      <w:pPr>
        <w:rPr>
          <w:rFonts w:hint="eastAsia" w:ascii="宋体" w:hAnsi="宋体" w:eastAsia="宋体" w:cs="宋体"/>
          <w:kern w:val="2"/>
          <w:sz w:val="24"/>
          <w:szCs w:val="24"/>
          <w:vertAlign w:val="baseline"/>
          <w:lang w:val="en-US" w:eastAsia="zh-CN" w:bidi="ar-SA"/>
        </w:rPr>
      </w:pPr>
    </w:p>
    <w:p>
      <w:pPr>
        <w:pStyle w:val="2"/>
        <w:rPr>
          <w:rFonts w:hint="eastAsia" w:ascii="宋体" w:hAnsi="宋体" w:eastAsia="宋体" w:cs="宋体"/>
          <w:kern w:val="2"/>
          <w:sz w:val="24"/>
          <w:szCs w:val="24"/>
          <w:vertAlign w:val="baseline"/>
          <w:lang w:val="en-US" w:eastAsia="zh-CN" w:bidi="ar-SA"/>
        </w:rPr>
      </w:pPr>
    </w:p>
    <w:p>
      <w:pPr>
        <w:pStyle w:val="3"/>
        <w:rPr>
          <w:rFonts w:hint="eastAsia" w:ascii="宋体" w:hAnsi="宋体" w:eastAsia="宋体" w:cs="宋体"/>
          <w:kern w:val="2"/>
          <w:sz w:val="24"/>
          <w:szCs w:val="24"/>
          <w:vertAlign w:val="baseline"/>
          <w:lang w:val="en-US" w:eastAsia="zh-CN" w:bidi="ar-SA"/>
        </w:rPr>
      </w:pPr>
    </w:p>
    <w:p>
      <w:pPr>
        <w:rPr>
          <w:rFonts w:hint="eastAsia" w:ascii="宋体" w:hAnsi="宋体" w:eastAsia="宋体" w:cs="宋体"/>
          <w:kern w:val="2"/>
          <w:sz w:val="24"/>
          <w:szCs w:val="24"/>
          <w:vertAlign w:val="baseline"/>
          <w:lang w:val="en-US" w:eastAsia="zh-CN" w:bidi="ar-SA"/>
        </w:rPr>
      </w:pPr>
    </w:p>
    <w:p>
      <w:pPr>
        <w:pStyle w:val="3"/>
        <w:ind w:left="0" w:leftChars="0" w:firstLine="0" w:firstLineChars="0"/>
        <w:rPr>
          <w:rFonts w:hint="eastAsia"/>
          <w:lang w:val="en-US" w:eastAsia="zh-CN"/>
        </w:rPr>
      </w:pPr>
    </w:p>
    <w:p>
      <w:pPr>
        <w:rPr>
          <w:rFonts w:hint="eastAsia"/>
          <w:lang w:val="en-US" w:eastAsia="zh-CN"/>
        </w:rPr>
      </w:pPr>
    </w:p>
    <w:p>
      <w:pPr>
        <w:pStyle w:val="2"/>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sz w:val="21"/>
          <w:szCs w:val="21"/>
          <w:lang w:val="en-US" w:eastAsia="zh-CN"/>
        </w:rPr>
        <w:drawing>
          <wp:anchor distT="0" distB="0" distL="114300" distR="114300" simplePos="0" relativeHeight="251664384" behindDoc="0" locked="0" layoutInCell="1" allowOverlap="1">
            <wp:simplePos x="0" y="0"/>
            <wp:positionH relativeFrom="column">
              <wp:posOffset>77470</wp:posOffset>
            </wp:positionH>
            <wp:positionV relativeFrom="paragraph">
              <wp:posOffset>29845</wp:posOffset>
            </wp:positionV>
            <wp:extent cx="5143500" cy="2371725"/>
            <wp:effectExtent l="0" t="0" r="0" b="9525"/>
            <wp:wrapSquare wrapText="bothSides"/>
            <wp:docPr id="3" name="图片 3" descr="46435aced2d5cdc049ac0068a0b4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6435aced2d5cdc049ac0068a0b48e6"/>
                    <pic:cNvPicPr>
                      <a:picLocks noChangeAspect="1"/>
                    </pic:cNvPicPr>
                  </pic:nvPicPr>
                  <pic:blipFill>
                    <a:blip r:embed="rId9"/>
                    <a:stretch>
                      <a:fillRect/>
                    </a:stretch>
                  </pic:blipFill>
                  <pic:spPr>
                    <a:xfrm>
                      <a:off x="0" y="0"/>
                      <a:ext cx="5143500" cy="2371725"/>
                    </a:xfrm>
                    <a:prstGeom prst="rect">
                      <a:avLst/>
                    </a:prstGeom>
                  </pic:spPr>
                </pic:pic>
              </a:graphicData>
            </a:graphic>
          </wp:anchor>
        </w:drawing>
      </w:r>
      <w:r>
        <w:rPr>
          <w:rFonts w:hint="eastAsia" w:ascii="宋体" w:hAnsi="宋体" w:eastAsia="宋体" w:cs="宋体"/>
          <w:b w:val="0"/>
          <w:bCs w:val="0"/>
          <w:kern w:val="2"/>
          <w:sz w:val="21"/>
          <w:szCs w:val="21"/>
          <w:vertAlign w:val="baseline"/>
          <w:lang w:val="en-US" w:eastAsia="zh-CN" w:bidi="ar-SA"/>
        </w:rPr>
        <w:t>图4 中泰证券促进乡村振兴公益行动流程图</w:t>
      </w:r>
    </w:p>
    <w:p>
      <w:pPr>
        <w:pStyle w:val="5"/>
        <w:pageBreakBefore w:val="0"/>
        <w:widowControl w:val="0"/>
        <w:kinsoku/>
        <w:wordWrap/>
        <w:overflowPunct/>
        <w:topLinePunct w:val="0"/>
        <w:autoSpaceDE/>
        <w:autoSpaceDN/>
        <w:bidi w:val="0"/>
        <w:adjustRightInd/>
        <w:snapToGrid/>
        <w:spacing w:before="0" w:beforeLines="0" w:after="0" w:afterLines="0" w:line="620" w:lineRule="exact"/>
        <w:ind w:firstLine="560" w:firstLineChars="200"/>
        <w:jc w:val="left"/>
        <w:textAlignment w:val="auto"/>
        <w:rPr>
          <w:rFonts w:hint="eastAsia" w:ascii="黑体" w:hAnsi="黑体" w:eastAsia="黑体" w:cs="黑体"/>
          <w:b w:val="0"/>
          <w:bCs w:val="0"/>
          <w:kern w:val="2"/>
          <w:sz w:val="28"/>
          <w:szCs w:val="28"/>
          <w:vertAlign w:val="baseline"/>
          <w:lang w:val="en-US" w:eastAsia="zh-CN" w:bidi="ar-SA"/>
        </w:rPr>
      </w:pPr>
      <w:bookmarkStart w:id="55" w:name="_Toc24506"/>
      <w:bookmarkStart w:id="56" w:name="_Toc23087"/>
      <w:bookmarkStart w:id="57" w:name="_Toc6468"/>
      <w:bookmarkStart w:id="58" w:name="_Toc29716"/>
      <w:r>
        <w:rPr>
          <w:rFonts w:hint="eastAsia" w:ascii="黑体" w:hAnsi="黑体" w:eastAsia="黑体" w:cs="黑体"/>
          <w:b w:val="0"/>
          <w:bCs w:val="0"/>
          <w:kern w:val="2"/>
          <w:sz w:val="28"/>
          <w:szCs w:val="28"/>
          <w:vertAlign w:val="baseline"/>
          <w:lang w:val="en-US" w:eastAsia="zh-CN" w:bidi="ar-SA"/>
        </w:rPr>
        <w:t>现场调研，精确对接实际需求</w:t>
      </w:r>
      <w:bookmarkEnd w:id="55"/>
      <w:bookmarkEnd w:id="56"/>
      <w:bookmarkEnd w:id="57"/>
      <w:bookmarkEnd w:id="58"/>
    </w:p>
    <w:p>
      <w:pPr>
        <w:pStyle w:val="2"/>
        <w:pageBreakBefore w:val="0"/>
        <w:widowControl w:val="0"/>
        <w:kinsoku/>
        <w:wordWrap/>
        <w:overflowPunct/>
        <w:topLinePunct w:val="0"/>
        <w:autoSpaceDE/>
        <w:autoSpaceDN/>
        <w:bidi w:val="0"/>
        <w:adjustRightInd/>
        <w:snapToGrid/>
        <w:spacing w:beforeLines="0" w:after="0" w:afterLines="0" w:line="620" w:lineRule="exact"/>
        <w:ind w:firstLine="480" w:firstLineChars="200"/>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为确保产业振兴工作精准有效，中泰证券高管团队多次带队前往柞水县进行考察，深入了解当地经济社会发展情况，与当地政府、企业、农民进行座谈、交流，积累了大量第一手资料。中泰证券分别从金融帮扶、产业帮扶、智力帮扶、生态帮扶、消费帮扶等方面入手，大力推动当地经济发展。</w:t>
      </w:r>
    </w:p>
    <w:p>
      <w:pPr>
        <w:pStyle w:val="5"/>
        <w:pageBreakBefore w:val="0"/>
        <w:widowControl w:val="0"/>
        <w:kinsoku/>
        <w:wordWrap/>
        <w:overflowPunct/>
        <w:topLinePunct w:val="0"/>
        <w:autoSpaceDE/>
        <w:autoSpaceDN/>
        <w:bidi w:val="0"/>
        <w:adjustRightInd/>
        <w:snapToGrid/>
        <w:spacing w:before="0" w:beforeLines="0" w:beforeAutospacing="0" w:after="0" w:afterLines="0" w:afterAutospacing="0" w:line="620" w:lineRule="exact"/>
        <w:ind w:left="0" w:leftChars="0" w:right="0" w:rightChars="0" w:firstLine="560" w:firstLineChars="200"/>
        <w:textAlignment w:val="auto"/>
        <w:rPr>
          <w:rFonts w:hint="eastAsia" w:ascii="黑体" w:hAnsi="黑体" w:eastAsia="黑体" w:cs="黑体"/>
          <w:b w:val="0"/>
          <w:bCs/>
          <w:i w:val="0"/>
          <w:caps w:val="0"/>
          <w:color w:val="auto"/>
          <w:spacing w:val="0"/>
          <w:kern w:val="44"/>
          <w:sz w:val="28"/>
          <w:szCs w:val="28"/>
          <w:shd w:val="clear" w:color="auto" w:fill="FFFFFF"/>
          <w:lang w:val="en-US" w:eastAsia="zh-CN" w:bidi="ar"/>
        </w:rPr>
      </w:pPr>
      <w:bookmarkStart w:id="59" w:name="_Toc2299"/>
      <w:bookmarkStart w:id="60" w:name="_Toc17574"/>
      <w:bookmarkStart w:id="61" w:name="_Toc32161"/>
      <w:bookmarkStart w:id="62" w:name="_Toc352"/>
      <w:r>
        <w:rPr>
          <w:rFonts w:hint="eastAsia" w:ascii="黑体" w:hAnsi="黑体" w:eastAsia="黑体" w:cs="黑体"/>
          <w:b w:val="0"/>
          <w:bCs/>
          <w:i w:val="0"/>
          <w:caps w:val="0"/>
          <w:color w:val="auto"/>
          <w:spacing w:val="0"/>
          <w:kern w:val="44"/>
          <w:sz w:val="28"/>
          <w:szCs w:val="28"/>
          <w:shd w:val="clear" w:color="auto" w:fill="FFFFFF"/>
          <w:lang w:val="en-US" w:eastAsia="zh-CN" w:bidi="ar"/>
        </w:rPr>
        <w:t>积极推进金融帮扶，为贫困地区引进活水</w:t>
      </w:r>
      <w:bookmarkEnd w:id="59"/>
      <w:bookmarkEnd w:id="60"/>
      <w:bookmarkEnd w:id="61"/>
      <w:bookmarkEnd w:id="62"/>
    </w:p>
    <w:p>
      <w:pPr>
        <w:pStyle w:val="2"/>
        <w:pageBreakBefore w:val="0"/>
        <w:widowControl w:val="0"/>
        <w:kinsoku/>
        <w:wordWrap/>
        <w:overflowPunct/>
        <w:topLinePunct w:val="0"/>
        <w:autoSpaceDE/>
        <w:autoSpaceDN/>
        <w:bidi w:val="0"/>
        <w:adjustRightInd/>
        <w:snapToGrid/>
        <w:spacing w:beforeLines="0" w:after="0" w:afterLines="0" w:line="620" w:lineRule="exact"/>
        <w:ind w:firstLine="480" w:firstLineChars="200"/>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2017年11月16日，中泰证券保荐承销的陕西盘龙药业集团股份有限公司在深圳证券交易所挂牌上市。发行股票2167万股，发行市盈率22.98倍，发行价格为10.03元，成功募集资金2.17亿元，为其生产线扩建、研发中心扩建、营销网络扩建及信息系统升级建设等项目建设提供了资金支持。盘龙药业是习近平总书记在深度贫困地区脱贫攻坚座谈会后全国首家深度贫困地区上市企业，是陕西省商洛市第一家上市公司，也是陕西省贫困县第一家上市公司。盘龙药业的成功上市直接带动9000余人脱贫致富，为深度贫困地区企业树立了标杆。</w:t>
      </w:r>
    </w:p>
    <w:p>
      <w:pPr>
        <w:pStyle w:val="2"/>
        <w:pageBreakBefore w:val="0"/>
        <w:widowControl w:val="0"/>
        <w:kinsoku/>
        <w:wordWrap/>
        <w:overflowPunct/>
        <w:topLinePunct w:val="0"/>
        <w:autoSpaceDE/>
        <w:autoSpaceDN/>
        <w:bidi w:val="0"/>
        <w:adjustRightInd/>
        <w:snapToGrid/>
        <w:spacing w:beforeLines="0" w:after="0" w:afterLines="0" w:line="620" w:lineRule="exact"/>
        <w:ind w:firstLine="480" w:firstLineChars="200"/>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2022年3月，中泰证券为解决盘龙药业高管资金需求，提供股票质押服务，实现融资8582万元。</w:t>
      </w:r>
    </w:p>
    <w:p>
      <w:pPr>
        <w:pStyle w:val="2"/>
        <w:pageBreakBefore w:val="0"/>
        <w:widowControl w:val="0"/>
        <w:kinsoku/>
        <w:wordWrap/>
        <w:overflowPunct/>
        <w:topLinePunct w:val="0"/>
        <w:autoSpaceDE/>
        <w:autoSpaceDN/>
        <w:bidi w:val="0"/>
        <w:adjustRightInd/>
        <w:snapToGrid/>
        <w:spacing w:beforeLines="0" w:after="0" w:afterLines="0" w:line="620" w:lineRule="exact"/>
        <w:ind w:firstLine="480" w:firstLineChars="200"/>
        <w:textAlignment w:val="auto"/>
        <w:rPr>
          <w:rFonts w:hint="eastAsia" w:ascii="宋体" w:hAnsi="宋体" w:eastAsia="宋体" w:cs="宋体"/>
          <w:spacing w:val="0"/>
          <w:kern w:val="21"/>
          <w:sz w:val="24"/>
          <w:szCs w:val="24"/>
          <w:u w:val="none"/>
          <w:lang w:val="en-US" w:eastAsia="zh-CN"/>
        </w:rPr>
      </w:pPr>
      <w:r>
        <w:rPr>
          <w:rFonts w:hint="eastAsia" w:ascii="宋体" w:hAnsi="宋体" w:eastAsia="宋体" w:cs="宋体"/>
          <w:kern w:val="2"/>
          <w:sz w:val="24"/>
          <w:szCs w:val="24"/>
          <w:vertAlign w:val="baseline"/>
          <w:lang w:val="en-US" w:eastAsia="zh-CN" w:bidi="ar-SA"/>
        </w:rPr>
        <w:t>2022年4月，中泰证券保荐承销的陕西盘龙药业集团股份有限公司可转债成功上市，募集资金2.76亿元。这也是中泰证券自2017年助力盘龙药业在深交所主板上市以来，再次为盘龙药业提供再融资服务，充分体现了金融帮扶的价值和意义。</w:t>
      </w:r>
    </w:p>
    <w:p>
      <w:pPr>
        <w:pStyle w:val="5"/>
        <w:pageBreakBefore w:val="0"/>
        <w:widowControl w:val="0"/>
        <w:kinsoku/>
        <w:wordWrap/>
        <w:overflowPunct/>
        <w:topLinePunct w:val="0"/>
        <w:autoSpaceDE/>
        <w:autoSpaceDN/>
        <w:bidi w:val="0"/>
        <w:adjustRightInd/>
        <w:snapToGrid/>
        <w:spacing w:before="0" w:beforeLines="0" w:after="0" w:afterLines="0" w:line="620" w:lineRule="exact"/>
        <w:ind w:firstLine="560" w:firstLineChars="200"/>
        <w:textAlignment w:val="auto"/>
        <w:rPr>
          <w:rFonts w:hint="eastAsia" w:ascii="黑体" w:hAnsi="黑体" w:eastAsia="黑体" w:cs="黑体"/>
          <w:b w:val="0"/>
          <w:bCs w:val="0"/>
          <w:kern w:val="2"/>
          <w:sz w:val="28"/>
          <w:szCs w:val="28"/>
          <w:vertAlign w:val="baseline"/>
          <w:lang w:val="en-US" w:eastAsia="zh-CN" w:bidi="ar-SA"/>
        </w:rPr>
      </w:pPr>
      <w:bookmarkStart w:id="63" w:name="_Toc21076"/>
      <w:bookmarkStart w:id="64" w:name="_Toc10414"/>
      <w:bookmarkStart w:id="65" w:name="_Toc32494"/>
      <w:bookmarkStart w:id="66" w:name="_Toc18692"/>
      <w:r>
        <w:rPr>
          <w:rFonts w:hint="eastAsia" w:ascii="黑体" w:hAnsi="黑体" w:eastAsia="黑体" w:cs="黑体"/>
          <w:b w:val="0"/>
          <w:bCs w:val="0"/>
          <w:i w:val="0"/>
          <w:caps w:val="0"/>
          <w:color w:val="auto"/>
          <w:spacing w:val="0"/>
          <w:kern w:val="2"/>
          <w:sz w:val="28"/>
          <w:szCs w:val="28"/>
          <w:shd w:val="clear" w:color="auto" w:fill="FFFFFF"/>
          <w:lang w:val="en-US" w:eastAsia="zh-CN" w:bidi="ar"/>
        </w:rPr>
        <w:t>因地制宜，助力乡村发展特色产业</w:t>
      </w:r>
      <w:bookmarkEnd w:id="63"/>
      <w:bookmarkEnd w:id="64"/>
      <w:bookmarkEnd w:id="65"/>
      <w:bookmarkEnd w:id="66"/>
    </w:p>
    <w:p>
      <w:pPr>
        <w:pStyle w:val="2"/>
        <w:numPr>
          <w:ilvl w:val="0"/>
          <w:numId w:val="0"/>
        </w:numPr>
        <w:spacing w:beforeLines="0" w:after="0" w:afterLines="0" w:line="620" w:lineRule="exact"/>
        <w:ind w:firstLine="480" w:firstLineChars="200"/>
        <w:jc w:val="left"/>
        <w:rPr>
          <w:rFonts w:hint="eastAsia" w:ascii="宋体" w:hAnsi="宋体" w:eastAsia="宋体" w:cs="宋体"/>
          <w:kern w:val="21"/>
          <w:sz w:val="24"/>
          <w:szCs w:val="24"/>
          <w:u w:val="none"/>
          <w:vertAlign w:val="baseline"/>
          <w:lang w:val="en-US" w:eastAsia="zh-CN" w:bidi="ar-SA"/>
        </w:rPr>
      </w:pPr>
      <w:r>
        <w:rPr>
          <w:rFonts w:hint="eastAsia" w:ascii="宋体" w:hAnsi="宋体" w:eastAsia="宋体" w:cs="宋体"/>
          <w:kern w:val="21"/>
          <w:sz w:val="24"/>
          <w:szCs w:val="24"/>
          <w:u w:val="none"/>
          <w:vertAlign w:val="baseline"/>
          <w:lang w:val="en-US" w:eastAsia="zh-CN" w:bidi="ar-SA"/>
        </w:rPr>
        <w:t>柞水木耳被认定为中国农产品百强标志性品牌和陕西省首批农产品区域公共品牌，入选全国首批名特优新农产品目录。中泰证券先后投入20万元帮助柞水县下梁镇木耳产业基地发展升级，产业基地主要将款项用于菌棒菌种采购、木耳培育和扩大养殖基地等方面。上述项目的实施，对于增加当地群众的就业机会，巩固脱贫攻坚成果，守住防返贫困线意义重大。</w:t>
      </w:r>
    </w:p>
    <w:p>
      <w:pPr>
        <w:pStyle w:val="3"/>
        <w:rPr>
          <w:rFonts w:hint="eastAsia" w:ascii="宋体" w:hAnsi="宋体" w:eastAsia="宋体" w:cs="宋体"/>
          <w:kern w:val="21"/>
          <w:sz w:val="24"/>
          <w:szCs w:val="24"/>
          <w:u w:val="none"/>
          <w:vertAlign w:val="baseline"/>
          <w:lang w:val="en-US" w:eastAsia="zh-CN" w:bidi="ar-SA"/>
        </w:rPr>
      </w:pPr>
      <w:r>
        <w:rPr>
          <w:rFonts w:hint="eastAsia" w:ascii="宋体" w:hAnsi="宋体" w:eastAsia="宋体" w:cs="宋体"/>
          <w:kern w:val="21"/>
          <w:sz w:val="21"/>
          <w:szCs w:val="21"/>
          <w:u w:val="none"/>
          <w:lang w:val="en-US" w:eastAsia="zh-CN"/>
        </w:rPr>
        <w:drawing>
          <wp:anchor distT="0" distB="0" distL="114300" distR="114300" simplePos="0" relativeHeight="251665408" behindDoc="0" locked="0" layoutInCell="1" allowOverlap="1">
            <wp:simplePos x="0" y="0"/>
            <wp:positionH relativeFrom="column">
              <wp:posOffset>949325</wp:posOffset>
            </wp:positionH>
            <wp:positionV relativeFrom="paragraph">
              <wp:posOffset>257810</wp:posOffset>
            </wp:positionV>
            <wp:extent cx="3630295" cy="3524250"/>
            <wp:effectExtent l="0" t="0" r="0" b="8255"/>
            <wp:wrapTopAndBottom/>
            <wp:docPr id="6" name="图片 6" descr="中泰证券—陕西省柞水县产业帮扶（促进帮扶地区产业发展） 升级菌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中泰证券—陕西省柞水县产业帮扶（促进帮扶地区产业发展） 升级菌种"/>
                    <pic:cNvPicPr>
                      <a:picLocks noChangeAspect="1"/>
                    </pic:cNvPicPr>
                  </pic:nvPicPr>
                  <pic:blipFill>
                    <a:blip r:embed="rId10"/>
                    <a:stretch>
                      <a:fillRect/>
                    </a:stretch>
                  </pic:blipFill>
                  <pic:spPr>
                    <a:xfrm rot="5400000">
                      <a:off x="0" y="0"/>
                      <a:ext cx="3630295" cy="3524250"/>
                    </a:xfrm>
                    <a:prstGeom prst="rect">
                      <a:avLst/>
                    </a:prstGeom>
                  </pic:spPr>
                </pic:pic>
              </a:graphicData>
            </a:graphic>
          </wp:anchor>
        </w:drawing>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图5 中泰证券帮扶柞水县下梁镇产业发展--升级菌种</w:t>
      </w:r>
    </w:p>
    <w:p>
      <w:pPr>
        <w:keepNext w:val="0"/>
        <w:keepLines w:val="0"/>
        <w:pageBreakBefore w:val="0"/>
        <w:widowControl w:val="0"/>
        <w:kinsoku/>
        <w:wordWrap/>
        <w:overflowPunct/>
        <w:topLinePunct w:val="0"/>
        <w:autoSpaceDE/>
        <w:autoSpaceDN/>
        <w:bidi w:val="0"/>
        <w:adjustRightInd/>
        <w:snapToGrid/>
        <w:spacing w:beforeLines="0" w:afterLines="0" w:line="620" w:lineRule="exact"/>
        <w:ind w:firstLine="480" w:firstLineChars="200"/>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中药材种植和加工是当地特色产业之一，中泰证券投入10万元帮助柞水县下梁镇明星社区股份经济合作社在明星社区三组（花园沟）建设中药材初加工项目，主要用于新建设施中药材初加工库房、加工车间、中药材晾晒场、排水及道路修建等。通过项目建设促进当地中药材种植、示范、农业旅游及农民就业。</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620" w:lineRule="exact"/>
        <w:ind w:firstLine="560" w:firstLineChars="200"/>
        <w:textAlignment w:val="auto"/>
        <w:rPr>
          <w:rFonts w:hint="eastAsia" w:ascii="黑体" w:hAnsi="黑体" w:eastAsia="黑体" w:cs="黑体"/>
          <w:b w:val="0"/>
          <w:bCs w:val="0"/>
          <w:kern w:val="2"/>
          <w:sz w:val="28"/>
          <w:szCs w:val="28"/>
          <w:vertAlign w:val="baseline"/>
          <w:lang w:val="en-US" w:eastAsia="zh-CN" w:bidi="ar-SA"/>
        </w:rPr>
      </w:pPr>
      <w:bookmarkStart w:id="67" w:name="_Toc7712"/>
      <w:bookmarkStart w:id="68" w:name="_Toc11558"/>
      <w:bookmarkStart w:id="69" w:name="_Toc21027"/>
      <w:bookmarkStart w:id="70" w:name="_Toc18496"/>
      <w:r>
        <w:rPr>
          <w:rFonts w:hint="eastAsia" w:ascii="黑体" w:hAnsi="黑体" w:eastAsia="黑体" w:cs="黑体"/>
          <w:b w:val="0"/>
          <w:bCs w:val="0"/>
          <w:i w:val="0"/>
          <w:caps w:val="0"/>
          <w:color w:val="auto"/>
          <w:spacing w:val="0"/>
          <w:kern w:val="2"/>
          <w:sz w:val="28"/>
          <w:szCs w:val="28"/>
          <w:shd w:val="clear" w:color="auto" w:fill="FFFFFF"/>
          <w:lang w:val="en-US" w:eastAsia="zh-CN" w:bidi="ar"/>
        </w:rPr>
        <w:t>推进生态帮扶，提升县域的生态环境质量</w:t>
      </w:r>
      <w:bookmarkEnd w:id="67"/>
      <w:bookmarkEnd w:id="68"/>
      <w:bookmarkEnd w:id="69"/>
      <w:bookmarkEnd w:id="70"/>
    </w:p>
    <w:p>
      <w:pPr>
        <w:keepNext w:val="0"/>
        <w:keepLines w:val="0"/>
        <w:pageBreakBefore w:val="0"/>
        <w:widowControl w:val="0"/>
        <w:kinsoku/>
        <w:wordWrap/>
        <w:overflowPunct/>
        <w:topLinePunct w:val="0"/>
        <w:autoSpaceDE/>
        <w:autoSpaceDN/>
        <w:bidi w:val="0"/>
        <w:adjustRightInd/>
        <w:snapToGrid/>
        <w:spacing w:beforeLines="0" w:afterLines="0" w:line="620" w:lineRule="exact"/>
        <w:ind w:firstLine="480" w:firstLineChars="200"/>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2021年，中泰证券投入15.05万元，由柞水县生态环保局组织实施了杏坪社区段，梨园村段，营镇社区段，金米村段4个村的环境治理，包括清理因水患导致的河道拥堵、进行清淤疏浚工程。随后开展了村庄公路两侧垃圾清理、庭院环境卫生维护，广告牌拆除等工作；开展各村公厕翻新、垃圾清运及垃圾分类设施采购等工作，保障了村民生活环境的干净整洁。通过以上工程的实施，一是保障了村庄河道的正常泄洪，降低汛期发生水灾的可能性和危害性，村民的日常用水安全得到了保障；二是通过环境整治，改变了村庄“脏、乱、差”的现状，改善了村庄的卫生条件，村民的幸福感得到了提升，村庄生态环境也得到根本改善；三是人居环境整治是乡村振兴的基础工作，此项帮扶项目的实施，对以上四个村构筑村民绿色生活方式和人居空间起到了显著的作用。</w:t>
      </w:r>
    </w:p>
    <w:p>
      <w:pPr>
        <w:keepNext w:val="0"/>
        <w:keepLines w:val="0"/>
        <w:pageBreakBefore w:val="0"/>
        <w:widowControl w:val="0"/>
        <w:kinsoku/>
        <w:wordWrap/>
        <w:overflowPunct/>
        <w:topLinePunct w:val="0"/>
        <w:autoSpaceDE/>
        <w:autoSpaceDN/>
        <w:bidi w:val="0"/>
        <w:adjustRightInd/>
        <w:snapToGrid/>
        <w:spacing w:beforeLines="0" w:afterLines="0" w:line="620" w:lineRule="exact"/>
        <w:ind w:firstLine="480" w:firstLineChars="200"/>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2022年，中泰证券投入10万元帮助柞水县下梁镇明星社区股份经济合作社进行乡村环境治理、人居环境整治行动、提升居民整体居住环境，四、五组安装太阳能路灯30余盏，改善当地居民夜间出行环境。</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620" w:lineRule="exact"/>
        <w:ind w:firstLine="560" w:firstLineChars="200"/>
        <w:textAlignment w:val="auto"/>
        <w:rPr>
          <w:rFonts w:hint="eastAsia" w:ascii="黑体" w:hAnsi="黑体" w:eastAsia="黑体" w:cs="黑体"/>
          <w:b w:val="0"/>
          <w:bCs w:val="0"/>
          <w:i w:val="0"/>
          <w:caps w:val="0"/>
          <w:color w:val="auto"/>
          <w:spacing w:val="0"/>
          <w:kern w:val="2"/>
          <w:sz w:val="28"/>
          <w:szCs w:val="28"/>
          <w:shd w:val="clear" w:color="auto" w:fill="FFFFFF"/>
          <w:lang w:val="en-US" w:eastAsia="zh-CN" w:bidi="ar"/>
        </w:rPr>
      </w:pPr>
      <w:bookmarkStart w:id="71" w:name="_Toc4000"/>
      <w:bookmarkStart w:id="72" w:name="_Toc4920"/>
      <w:bookmarkStart w:id="73" w:name="_Toc17208"/>
      <w:bookmarkStart w:id="74" w:name="_Toc15226"/>
      <w:r>
        <w:rPr>
          <w:rFonts w:hint="eastAsia" w:ascii="黑体" w:hAnsi="黑体" w:eastAsia="黑体" w:cs="黑体"/>
          <w:b w:val="0"/>
          <w:bCs w:val="0"/>
          <w:i w:val="0"/>
          <w:caps w:val="0"/>
          <w:color w:val="auto"/>
          <w:spacing w:val="0"/>
          <w:kern w:val="2"/>
          <w:sz w:val="28"/>
          <w:szCs w:val="28"/>
          <w:shd w:val="clear" w:color="auto" w:fill="FFFFFF"/>
          <w:lang w:val="en-US" w:eastAsia="zh-CN" w:bidi="ar"/>
        </w:rPr>
        <w:t>以实践项目为依托深入落实智力帮扶，促进帮扶县域的就业培训</w:t>
      </w:r>
      <w:bookmarkEnd w:id="71"/>
      <w:bookmarkEnd w:id="72"/>
      <w:bookmarkEnd w:id="73"/>
      <w:bookmarkEnd w:id="74"/>
    </w:p>
    <w:p>
      <w:pPr>
        <w:keepNext w:val="0"/>
        <w:keepLines w:val="0"/>
        <w:pageBreakBefore w:val="0"/>
        <w:widowControl w:val="0"/>
        <w:kinsoku/>
        <w:wordWrap/>
        <w:overflowPunct/>
        <w:topLinePunct w:val="0"/>
        <w:autoSpaceDE/>
        <w:autoSpaceDN/>
        <w:bidi w:val="0"/>
        <w:adjustRightInd/>
        <w:snapToGrid/>
        <w:spacing w:beforeLines="0" w:afterLines="0" w:line="620" w:lineRule="exact"/>
        <w:ind w:firstLine="480" w:firstLineChars="200"/>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本着“强化技能帮扶，实现技能提升”和“扶贫必扶智”的主导思想，中泰证券出资17.5万元，一是由柞水县乡村振兴局牵头开展全县脱贫劳动力技能培训，培训内容为木耳种植和中药材种植，2021年参训人员达575人；二是柞水县乡村振兴局对柞水县下梁镇明星社区股份经济合作社的天麻、猪苓、五味子科管、木耳等种植户及专业技术管理人员、乡村振兴带头人等进行种植技术培训，2022年预计参训人员达1000人以上。通过培训有效提高群众从业的工作技能，增加当地群众就业机会，提升群众日常收入。</w:t>
      </w:r>
    </w:p>
    <w:p>
      <w:pPr>
        <w:spacing w:beforeLines="0" w:afterLines="0" w:line="620" w:lineRule="exact"/>
        <w:jc w:val="center"/>
        <w:rPr>
          <w:rFonts w:hint="eastAsia" w:ascii="宋体" w:hAnsi="宋体" w:eastAsia="宋体" w:cs="宋体"/>
          <w:sz w:val="24"/>
          <w:szCs w:val="24"/>
          <w:lang w:eastAsia="zh-CN"/>
        </w:rPr>
      </w:pPr>
      <w:r>
        <w:rPr>
          <w:rFonts w:hint="eastAsia" w:ascii="宋体" w:hAnsi="宋体" w:eastAsia="宋体" w:cs="宋体"/>
          <w:sz w:val="21"/>
          <w:szCs w:val="21"/>
          <w:lang w:eastAsia="zh-CN"/>
        </w:rPr>
        <w:drawing>
          <wp:anchor distT="0" distB="0" distL="114300" distR="114300" simplePos="0" relativeHeight="251660288" behindDoc="0" locked="0" layoutInCell="1" allowOverlap="1">
            <wp:simplePos x="0" y="0"/>
            <wp:positionH relativeFrom="column">
              <wp:posOffset>354965</wp:posOffset>
            </wp:positionH>
            <wp:positionV relativeFrom="paragraph">
              <wp:posOffset>132080</wp:posOffset>
            </wp:positionV>
            <wp:extent cx="4507865" cy="2535555"/>
            <wp:effectExtent l="0" t="0" r="6985" b="17145"/>
            <wp:wrapTopAndBottom/>
            <wp:docPr id="7" name="图片 7" descr="中泰证券—陕西省柞水县智力帮扶（种植培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中泰证券—陕西省柞水县智力帮扶（种植培训）2"/>
                    <pic:cNvPicPr>
                      <a:picLocks noChangeAspect="1"/>
                    </pic:cNvPicPr>
                  </pic:nvPicPr>
                  <pic:blipFill>
                    <a:blip r:embed="rId11"/>
                    <a:stretch>
                      <a:fillRect/>
                    </a:stretch>
                  </pic:blipFill>
                  <pic:spPr>
                    <a:xfrm>
                      <a:off x="0" y="0"/>
                      <a:ext cx="4507865" cy="2535555"/>
                    </a:xfrm>
                    <a:prstGeom prst="rect">
                      <a:avLst/>
                    </a:prstGeom>
                  </pic:spPr>
                </pic:pic>
              </a:graphicData>
            </a:graphic>
          </wp:anchor>
        </w:drawing>
      </w:r>
      <w:r>
        <w:rPr>
          <w:rFonts w:hint="eastAsia" w:ascii="宋体" w:hAnsi="宋体" w:eastAsia="宋体" w:cs="宋体"/>
          <w:sz w:val="21"/>
          <w:szCs w:val="21"/>
          <w:lang w:val="en-US" w:eastAsia="zh-CN"/>
        </w:rPr>
        <w:t xml:space="preserve">图6 </w:t>
      </w:r>
      <w:r>
        <w:rPr>
          <w:rFonts w:hint="eastAsia" w:ascii="宋体" w:hAnsi="宋体" w:eastAsia="宋体" w:cs="宋体"/>
          <w:sz w:val="21"/>
          <w:szCs w:val="21"/>
          <w:lang w:eastAsia="zh-CN"/>
        </w:rPr>
        <w:t>中泰证券</w:t>
      </w:r>
      <w:r>
        <w:rPr>
          <w:rFonts w:hint="eastAsia" w:ascii="宋体" w:hAnsi="宋体" w:eastAsia="宋体" w:cs="宋体"/>
          <w:sz w:val="21"/>
          <w:szCs w:val="21"/>
          <w:lang w:val="en-US" w:eastAsia="zh-CN"/>
        </w:rPr>
        <w:t>在</w:t>
      </w:r>
      <w:r>
        <w:rPr>
          <w:rFonts w:hint="eastAsia" w:ascii="宋体" w:hAnsi="宋体" w:eastAsia="宋体" w:cs="宋体"/>
          <w:sz w:val="21"/>
          <w:szCs w:val="21"/>
          <w:lang w:eastAsia="zh-CN"/>
        </w:rPr>
        <w:t>柞水县</w:t>
      </w:r>
      <w:r>
        <w:rPr>
          <w:rFonts w:hint="eastAsia" w:ascii="宋体" w:hAnsi="宋体" w:eastAsia="宋体" w:cs="宋体"/>
          <w:sz w:val="21"/>
          <w:szCs w:val="21"/>
          <w:lang w:val="en-US" w:eastAsia="zh-CN"/>
        </w:rPr>
        <w:t>开展</w:t>
      </w:r>
      <w:r>
        <w:rPr>
          <w:rFonts w:hint="eastAsia" w:ascii="宋体" w:hAnsi="宋体" w:eastAsia="宋体" w:cs="宋体"/>
          <w:sz w:val="21"/>
          <w:szCs w:val="21"/>
          <w:lang w:eastAsia="zh-CN"/>
        </w:rPr>
        <w:t>智力帮扶（种植培训）</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620" w:lineRule="exact"/>
        <w:ind w:firstLine="560" w:firstLineChars="200"/>
        <w:textAlignment w:val="auto"/>
        <w:rPr>
          <w:rFonts w:hint="eastAsia" w:ascii="黑体" w:hAnsi="黑体" w:eastAsia="黑体" w:cs="黑体"/>
          <w:b w:val="0"/>
          <w:bCs w:val="0"/>
          <w:i w:val="0"/>
          <w:caps w:val="0"/>
          <w:color w:val="auto"/>
          <w:spacing w:val="0"/>
          <w:kern w:val="2"/>
          <w:sz w:val="28"/>
          <w:szCs w:val="28"/>
          <w:shd w:val="clear" w:color="auto" w:fill="FFFFFF"/>
          <w:lang w:val="en-US" w:eastAsia="zh-CN" w:bidi="ar"/>
        </w:rPr>
      </w:pPr>
      <w:bookmarkStart w:id="75" w:name="_Toc27649"/>
      <w:bookmarkStart w:id="76" w:name="_Toc11561"/>
      <w:bookmarkStart w:id="77" w:name="_Toc15497"/>
      <w:bookmarkStart w:id="78" w:name="_Toc3370"/>
      <w:r>
        <w:rPr>
          <w:rFonts w:hint="eastAsia" w:ascii="黑体" w:hAnsi="黑体" w:eastAsia="黑体" w:cs="黑体"/>
          <w:b w:val="0"/>
          <w:bCs w:val="0"/>
          <w:i w:val="0"/>
          <w:caps w:val="0"/>
          <w:color w:val="auto"/>
          <w:spacing w:val="0"/>
          <w:kern w:val="2"/>
          <w:sz w:val="28"/>
          <w:szCs w:val="28"/>
          <w:shd w:val="clear" w:color="auto" w:fill="FFFFFF"/>
          <w:lang w:val="en-US" w:eastAsia="zh-CN" w:bidi="ar"/>
        </w:rPr>
        <w:t>多种方式开展捐资助学活动</w:t>
      </w:r>
      <w:bookmarkEnd w:id="75"/>
      <w:bookmarkEnd w:id="76"/>
      <w:bookmarkEnd w:id="77"/>
      <w:bookmarkEnd w:id="78"/>
    </w:p>
    <w:p>
      <w:pPr>
        <w:spacing w:beforeLines="0" w:afterLines="0" w:line="620" w:lineRule="exact"/>
        <w:ind w:left="0"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kern w:val="2"/>
          <w:sz w:val="24"/>
          <w:szCs w:val="24"/>
          <w:vertAlign w:val="baseline"/>
          <w:lang w:val="en-US" w:eastAsia="zh-CN" w:bidi="ar-SA"/>
        </w:rPr>
        <w:t>2021年，中泰证券陕西分公司代表山东中泰慈善基金会联合新丝路投教基地，赶赴受水灾影响的柞水县曹坪镇什字村红石小学开展贫困小学助困活动，采买分发食品、文教具、电脑等12类物资，进行儿童财商教育课程。</w:t>
      </w:r>
    </w:p>
    <w:p>
      <w:pPr>
        <w:spacing w:beforeLines="0" w:afterLines="0" w:line="6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1312" behindDoc="0" locked="0" layoutInCell="1" allowOverlap="1">
            <wp:simplePos x="0" y="0"/>
            <wp:positionH relativeFrom="column">
              <wp:posOffset>740410</wp:posOffset>
            </wp:positionH>
            <wp:positionV relativeFrom="paragraph">
              <wp:posOffset>214630</wp:posOffset>
            </wp:positionV>
            <wp:extent cx="3792855" cy="2640965"/>
            <wp:effectExtent l="0" t="0" r="17145" b="6985"/>
            <wp:wrapTopAndBottom/>
            <wp:docPr id="4" name="图片 4" descr="柞水县“泰温暖”活动照片（曹坪镇什字村红石小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柞水县“泰温暖”活动照片（曹坪镇什字村红石小学）"/>
                    <pic:cNvPicPr>
                      <a:picLocks noChangeAspect="1"/>
                    </pic:cNvPicPr>
                  </pic:nvPicPr>
                  <pic:blipFill>
                    <a:blip r:embed="rId12"/>
                    <a:stretch>
                      <a:fillRect/>
                    </a:stretch>
                  </pic:blipFill>
                  <pic:spPr>
                    <a:xfrm>
                      <a:off x="0" y="0"/>
                      <a:ext cx="3792855" cy="2640965"/>
                    </a:xfrm>
                    <a:prstGeom prst="rect">
                      <a:avLst/>
                    </a:prstGeom>
                  </pic:spPr>
                </pic:pic>
              </a:graphicData>
            </a:graphic>
          </wp:anchor>
        </w:drawing>
      </w:r>
      <w:r>
        <w:rPr>
          <w:rFonts w:hint="eastAsia" w:ascii="宋体" w:hAnsi="宋体" w:eastAsia="宋体" w:cs="宋体"/>
          <w:sz w:val="21"/>
          <w:szCs w:val="21"/>
          <w:lang w:val="en-US" w:eastAsia="zh-CN"/>
        </w:rPr>
        <w:t>图7 中泰证券陕西分公司走访慰问红石小学</w:t>
      </w:r>
    </w:p>
    <w:p>
      <w:pPr>
        <w:keepNext w:val="0"/>
        <w:keepLines w:val="0"/>
        <w:pageBreakBefore w:val="0"/>
        <w:widowControl w:val="0"/>
        <w:kinsoku/>
        <w:wordWrap/>
        <w:overflowPunct/>
        <w:topLinePunct w:val="0"/>
        <w:autoSpaceDE/>
        <w:autoSpaceDN/>
        <w:bidi w:val="0"/>
        <w:adjustRightInd/>
        <w:snapToGrid/>
        <w:spacing w:beforeLines="0" w:afterLines="0" w:line="620" w:lineRule="exact"/>
        <w:ind w:firstLine="480" w:firstLineChars="200"/>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2022年初，中泰证券通过山东中泰慈善基金会出资50万元，与陕西盘龙药业联合在柞水县设立“盘龙中泰助学金”，助力乡村教育事业发展,激励广大教师奋发有为和乡村学生励志成才。</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620" w:lineRule="exact"/>
        <w:ind w:firstLine="560" w:firstLineChars="200"/>
        <w:textAlignment w:val="auto"/>
        <w:rPr>
          <w:rFonts w:hint="eastAsia" w:ascii="黑体" w:hAnsi="黑体" w:eastAsia="黑体" w:cs="黑体"/>
          <w:b w:val="0"/>
          <w:bCs w:val="0"/>
          <w:sz w:val="28"/>
          <w:szCs w:val="28"/>
          <w:lang w:val="en-US" w:eastAsia="zh-CN"/>
        </w:rPr>
      </w:pPr>
      <w:bookmarkStart w:id="79" w:name="_Toc30178"/>
      <w:bookmarkStart w:id="80" w:name="_Toc20567"/>
      <w:bookmarkStart w:id="81" w:name="_Toc19355"/>
      <w:bookmarkStart w:id="82" w:name="_Toc2871"/>
      <w:r>
        <w:rPr>
          <w:rFonts w:hint="eastAsia" w:ascii="黑体" w:hAnsi="黑体" w:eastAsia="黑体" w:cs="黑体"/>
          <w:b w:val="0"/>
          <w:bCs w:val="0"/>
          <w:i w:val="0"/>
          <w:caps w:val="0"/>
          <w:color w:val="auto"/>
          <w:spacing w:val="0"/>
          <w:kern w:val="2"/>
          <w:sz w:val="28"/>
          <w:szCs w:val="28"/>
          <w:shd w:val="clear" w:color="auto" w:fill="FFFFFF"/>
          <w:lang w:val="en-US" w:eastAsia="zh-CN" w:bidi="ar"/>
        </w:rPr>
        <w:t>开展消费帮扶，进一步促进乡村产业发展</w:t>
      </w:r>
      <w:bookmarkEnd w:id="79"/>
      <w:bookmarkEnd w:id="80"/>
      <w:bookmarkEnd w:id="81"/>
      <w:bookmarkEnd w:id="82"/>
    </w:p>
    <w:p>
      <w:pPr>
        <w:keepNext w:val="0"/>
        <w:keepLines w:val="0"/>
        <w:pageBreakBefore w:val="0"/>
        <w:widowControl w:val="0"/>
        <w:kinsoku/>
        <w:wordWrap/>
        <w:overflowPunct/>
        <w:topLinePunct w:val="0"/>
        <w:autoSpaceDE/>
        <w:autoSpaceDN/>
        <w:bidi w:val="0"/>
        <w:adjustRightInd/>
        <w:snapToGrid/>
        <w:spacing w:beforeLines="0" w:afterLines="0" w:line="620" w:lineRule="exact"/>
        <w:ind w:firstLine="480" w:firstLineChars="200"/>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中泰证券把消费帮扶作为结对帮扶重要抓手，指导工会组织将职工福利保障与促进贫困地区产业发展有机结合，近年来，先后从陕西柞水县采购木耳、茶叶、养生面条、中药制品等农副产品510多万元。中泰证券消费帮扶活动，对于拓宽柞水县农副产品销路、促进当地农产品品牌建设，增加当地农户收入，带动当地产业发展发挥了积极作用。</w:t>
      </w:r>
    </w:p>
    <w:p>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20" w:lineRule="exact"/>
        <w:ind w:firstLine="600" w:firstLineChars="200"/>
        <w:jc w:val="both"/>
        <w:textAlignment w:val="auto"/>
        <w:rPr>
          <w:rFonts w:hint="eastAsia" w:ascii="黑体" w:hAnsi="黑体" w:eastAsia="黑体" w:cs="黑体"/>
          <w:b w:val="0"/>
          <w:bCs/>
          <w:sz w:val="30"/>
          <w:szCs w:val="30"/>
          <w:lang w:val="en-US" w:eastAsia="zh-CN"/>
        </w:rPr>
      </w:pPr>
      <w:bookmarkStart w:id="83" w:name="_Toc25614_WPSOffice_Level1"/>
      <w:bookmarkStart w:id="84" w:name="_Toc6183"/>
      <w:bookmarkStart w:id="85" w:name="_Toc30984"/>
      <w:bookmarkStart w:id="86" w:name="_Toc25512"/>
      <w:bookmarkStart w:id="87" w:name="_Toc26679"/>
      <w:r>
        <w:rPr>
          <w:rFonts w:hint="eastAsia" w:ascii="黑体" w:hAnsi="黑体" w:eastAsia="黑体" w:cs="黑体"/>
          <w:b w:val="0"/>
          <w:bCs/>
          <w:sz w:val="30"/>
          <w:szCs w:val="30"/>
          <w:lang w:val="en-US" w:eastAsia="zh-CN"/>
        </w:rPr>
        <w:t>六、下一步措施和建议</w:t>
      </w:r>
      <w:bookmarkEnd w:id="83"/>
      <w:bookmarkEnd w:id="84"/>
      <w:bookmarkEnd w:id="85"/>
      <w:bookmarkEnd w:id="86"/>
      <w:bookmarkEnd w:id="87"/>
    </w:p>
    <w:p>
      <w:pPr>
        <w:keepNext w:val="0"/>
        <w:keepLines w:val="0"/>
        <w:pageBreakBefore w:val="0"/>
        <w:widowControl w:val="0"/>
        <w:kinsoku/>
        <w:wordWrap/>
        <w:overflowPunct/>
        <w:topLinePunct w:val="0"/>
        <w:autoSpaceDE/>
        <w:autoSpaceDN/>
        <w:bidi w:val="0"/>
        <w:adjustRightInd/>
        <w:snapToGrid/>
        <w:spacing w:beforeLines="0" w:afterLines="0" w:line="620" w:lineRule="exact"/>
        <w:ind w:firstLine="480" w:firstLineChars="200"/>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2022年是党的二十大召开之年，也是推动巩固拓展脱贫攻坚成果同乡村振兴有效衔接的关键之年，在深入学习贯彻党的十九届六中全会精神和习近平总书记到陕考察重要讲话重要指示精神下，要紧紧围绕党中央决策部署，坚决守住保障国家粮食安全和不发生规模性返贫两条底线，扎实有序做好乡村发展、乡村建设、乡村治理等重点工作。</w:t>
      </w:r>
    </w:p>
    <w:p>
      <w:pPr>
        <w:keepNext w:val="0"/>
        <w:keepLines w:val="0"/>
        <w:pageBreakBefore w:val="0"/>
        <w:widowControl w:val="0"/>
        <w:kinsoku/>
        <w:wordWrap/>
        <w:overflowPunct/>
        <w:topLinePunct w:val="0"/>
        <w:autoSpaceDE/>
        <w:autoSpaceDN/>
        <w:bidi w:val="0"/>
        <w:adjustRightInd/>
        <w:snapToGrid/>
        <w:spacing w:beforeLines="0" w:afterLines="0" w:line="620" w:lineRule="exact"/>
        <w:ind w:firstLine="482" w:firstLineChars="200"/>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一是进一步强化统筹协调。</w:t>
      </w:r>
      <w:r>
        <w:rPr>
          <w:rFonts w:hint="eastAsia" w:ascii="宋体" w:hAnsi="宋体" w:eastAsia="宋体" w:cs="宋体"/>
          <w:kern w:val="2"/>
          <w:sz w:val="24"/>
          <w:szCs w:val="24"/>
          <w:vertAlign w:val="baseline"/>
          <w:lang w:val="en-US" w:eastAsia="zh-CN" w:bidi="ar-SA"/>
        </w:rPr>
        <w:t>坚持把推进巩固拓展脱贫攻坚成果同乡村振兴有效衔接作为工作重中之重，优先满足“三农”发展要素配置，引导和支持人才、资金、技术等各类发展要素向农村聚集，以农村基础设施建设、乡风文明治理、农村人才队伍建设为重点，推动组织共建、产业共兴、人才共享、文化共育、生态共创，形成以巩固脱贫成果夯实乡村振兴基础，以乡村振兴引领脱贫成果巩固的良性循环机制。</w:t>
      </w:r>
    </w:p>
    <w:p>
      <w:pPr>
        <w:keepNext w:val="0"/>
        <w:keepLines w:val="0"/>
        <w:pageBreakBefore w:val="0"/>
        <w:widowControl w:val="0"/>
        <w:kinsoku/>
        <w:wordWrap/>
        <w:overflowPunct/>
        <w:topLinePunct w:val="0"/>
        <w:autoSpaceDE/>
        <w:autoSpaceDN/>
        <w:bidi w:val="0"/>
        <w:adjustRightInd/>
        <w:snapToGrid/>
        <w:spacing w:beforeLines="0" w:afterLines="0" w:line="620" w:lineRule="exact"/>
        <w:ind w:firstLine="482" w:firstLineChars="200"/>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二是要抓实产业就业。</w:t>
      </w:r>
      <w:r>
        <w:rPr>
          <w:rFonts w:hint="eastAsia" w:ascii="宋体" w:hAnsi="宋体" w:eastAsia="宋体" w:cs="宋体"/>
          <w:kern w:val="2"/>
          <w:sz w:val="24"/>
          <w:szCs w:val="24"/>
          <w:vertAlign w:val="baseline"/>
          <w:lang w:val="en-US" w:eastAsia="zh-CN" w:bidi="ar-SA"/>
        </w:rPr>
        <w:t>加快建设以金米国家级现代农业产业园为中心的多条木耳产业带，因地制宜扶持香菇、茶叶、中药材、生猪、冷水鱼等特色产业。着力提高小额信贷获贷率，积极推广“富民贷”，规范管理互助资金，组织实施好到户类产业帮扶项目。持续完善联农带农机制，让农民更多分享产业增值收益。深化苏陕劳务协作，强化省内劳务协作，加大援企稳岗力度，规范管理公益岗位，用好社区工厂、以工代赈等载体，确保脱贫人口就业规模和收入水平稳中有增。</w:t>
      </w:r>
    </w:p>
    <w:p>
      <w:pPr>
        <w:keepNext w:val="0"/>
        <w:keepLines w:val="0"/>
        <w:pageBreakBefore w:val="0"/>
        <w:widowControl w:val="0"/>
        <w:kinsoku/>
        <w:wordWrap/>
        <w:overflowPunct/>
        <w:topLinePunct w:val="0"/>
        <w:autoSpaceDE/>
        <w:autoSpaceDN/>
        <w:bidi w:val="0"/>
        <w:adjustRightInd/>
        <w:snapToGrid/>
        <w:spacing w:beforeLines="0" w:afterLines="0" w:line="620" w:lineRule="exact"/>
        <w:ind w:firstLine="482" w:firstLineChars="200"/>
        <w:textAlignment w:val="auto"/>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三是大力培育新型职业农民，为乡村振兴提供人才支撑。</w:t>
      </w:r>
      <w:r>
        <w:rPr>
          <w:rFonts w:hint="eastAsia" w:ascii="宋体" w:hAnsi="宋体" w:eastAsia="宋体" w:cs="宋体"/>
          <w:kern w:val="2"/>
          <w:sz w:val="24"/>
          <w:szCs w:val="24"/>
          <w:vertAlign w:val="baseline"/>
          <w:lang w:val="en-US" w:eastAsia="zh-CN" w:bidi="ar-SA"/>
        </w:rPr>
        <w:t>农民是建设现代农业和新农村的主体。农民素质的高低，直接影响到乡村振兴的成果。只有培养造就千千万万高素质的新型职业农民，才能形成持续推动现代农业建设的力量源泉。从提高农业生产经营者素质出发，大力开展新型职业农民培训，通过技术培训、政策扶持等措施，留住一批拥有较高素质的青壮年农民从事农业，不断增强农业农村发展活力。大力培养一批懂法律、会经营、能管理、有技术的新型职业农民，为乡村振兴提供有力的人才支撑。</w:t>
      </w:r>
    </w:p>
    <w:p>
      <w:pPr>
        <w:keepNext w:val="0"/>
        <w:keepLines w:val="0"/>
        <w:pageBreakBefore w:val="0"/>
        <w:widowControl w:val="0"/>
        <w:kinsoku/>
        <w:wordWrap/>
        <w:overflowPunct/>
        <w:topLinePunct w:val="0"/>
        <w:autoSpaceDE/>
        <w:autoSpaceDN/>
        <w:bidi w:val="0"/>
        <w:adjustRightInd/>
        <w:snapToGrid/>
        <w:spacing w:beforeLines="0" w:afterLines="0" w:line="620" w:lineRule="exact"/>
        <w:ind w:firstLine="482" w:firstLineChars="200"/>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四是要不断提高示范引领作用。</w:t>
      </w:r>
      <w:r>
        <w:rPr>
          <w:rFonts w:hint="eastAsia" w:ascii="宋体" w:hAnsi="宋体" w:eastAsia="宋体" w:cs="宋体"/>
          <w:kern w:val="2"/>
          <w:sz w:val="24"/>
          <w:szCs w:val="24"/>
          <w:vertAlign w:val="baseline"/>
          <w:lang w:val="en-US" w:eastAsia="zh-CN" w:bidi="ar-SA"/>
        </w:rPr>
        <w:t>逐步打造一批产业特色鲜明、基础设施完善、宜居宜业宜游、社会安定和谐的乡村振兴示范村，形成可借鉴、可复制、可推广的乡村振兴标准，以点带面推动乡村全面振兴。</w:t>
      </w:r>
    </w:p>
    <w:p>
      <w:pPr>
        <w:keepNext w:val="0"/>
        <w:keepLines w:val="0"/>
        <w:pageBreakBefore w:val="0"/>
        <w:widowControl w:val="0"/>
        <w:kinsoku/>
        <w:wordWrap/>
        <w:overflowPunct/>
        <w:topLinePunct w:val="0"/>
        <w:autoSpaceDE/>
        <w:autoSpaceDN/>
        <w:bidi w:val="0"/>
        <w:adjustRightInd/>
        <w:snapToGrid/>
        <w:spacing w:beforeLines="0" w:afterLines="0" w:line="620" w:lineRule="exact"/>
        <w:ind w:firstLine="482" w:firstLineChars="200"/>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五是要继续加强环境治理。</w:t>
      </w:r>
      <w:r>
        <w:rPr>
          <w:rFonts w:hint="eastAsia" w:ascii="宋体" w:hAnsi="宋体" w:eastAsia="宋体" w:cs="宋体"/>
          <w:kern w:val="2"/>
          <w:sz w:val="24"/>
          <w:szCs w:val="24"/>
          <w:vertAlign w:val="baseline"/>
          <w:lang w:val="en-US" w:eastAsia="zh-CN" w:bidi="ar-SA"/>
        </w:rPr>
        <w:t>围绕建设秦岭山水乡村，积极推进村容村貌整治、生活污水和垃圾治理、厕所革命等工作，从根本上治理农村人居环境脏乱差源头，不断巩固提升村庄清洁行动整治成果。定期开展环境优美村、卫生清洁户等评选活动，使“讲文明、讲卫生”成为广大村民的良好行为习惯，促使农村环境面貌发生根本改善。</w:t>
      </w:r>
    </w:p>
    <w:p>
      <w:pPr>
        <w:keepNext w:val="0"/>
        <w:keepLines w:val="0"/>
        <w:pageBreakBefore w:val="0"/>
        <w:widowControl w:val="0"/>
        <w:kinsoku/>
        <w:wordWrap/>
        <w:overflowPunct/>
        <w:topLinePunct w:val="0"/>
        <w:autoSpaceDE/>
        <w:autoSpaceDN/>
        <w:bidi w:val="0"/>
        <w:adjustRightInd/>
        <w:snapToGrid/>
        <w:spacing w:beforeLines="0" w:afterLines="0" w:line="620" w:lineRule="exact"/>
        <w:ind w:firstLine="482" w:firstLineChars="200"/>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六是要充分宣传落实政策。</w:t>
      </w:r>
      <w:r>
        <w:rPr>
          <w:rFonts w:hint="eastAsia" w:ascii="宋体" w:hAnsi="宋体" w:eastAsia="宋体" w:cs="宋体"/>
          <w:kern w:val="2"/>
          <w:sz w:val="24"/>
          <w:szCs w:val="24"/>
          <w:vertAlign w:val="baseline"/>
          <w:lang w:val="en-US" w:eastAsia="zh-CN" w:bidi="ar-SA"/>
        </w:rPr>
        <w:t>通过邀请专家解读、业务人员讲解和制作简明读本等办法，加大巩固脱贫攻坚成果同乡村振兴有效衔接政策的宣传，提高镇村干部对政策理解的精准度和广大群众对政策的知晓率。持续加大乡村产业、农村改厕、灾后重建等一系列衔接政策兑现力度，确保广大群众各类政策应知尽知、应享尽享，不断提高群众的满意度、幸福感。</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宋体" w:hAnsi="宋体" w:eastAsia="宋体" w:cs="宋体"/>
          <w:sz w:val="24"/>
          <w:szCs w:val="24"/>
          <w:lang w:val="en-US" w:eastAsia="zh-CN"/>
        </w:rPr>
      </w:pPr>
    </w:p>
    <w:p>
      <w:pPr>
        <w:pStyle w:val="3"/>
        <w:spacing w:line="620" w:lineRule="exact"/>
        <w:rPr>
          <w:rFonts w:hint="default"/>
          <w:lang w:val="en-US" w:eastAsia="zh-CN"/>
        </w:rPr>
      </w:pPr>
    </w:p>
    <w:p>
      <w:pPr>
        <w:spacing w:line="620" w:lineRule="exact"/>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br w:type="page"/>
      </w:r>
    </w:p>
    <w:p>
      <w:pPr>
        <w:spacing w:line="620" w:lineRule="exact"/>
        <w:jc w:val="both"/>
        <w:rPr>
          <w:rFonts w:hint="eastAsia" w:ascii="黑体" w:hAnsi="黑体" w:eastAsia="黑体" w:cs="黑体"/>
          <w:kern w:val="2"/>
          <w:sz w:val="32"/>
          <w:szCs w:val="32"/>
          <w:vertAlign w:val="baseline"/>
          <w:lang w:val="en-US" w:eastAsia="zh-CN" w:bidi="ar-SA"/>
        </w:rPr>
      </w:pPr>
      <w:r>
        <w:rPr>
          <w:rFonts w:hint="eastAsia" w:ascii="黑体" w:hAnsi="黑体" w:eastAsia="黑体" w:cs="黑体"/>
          <w:kern w:val="2"/>
          <w:sz w:val="32"/>
          <w:szCs w:val="32"/>
          <w:vertAlign w:val="baseline"/>
          <w:lang w:val="en-US" w:eastAsia="zh-CN" w:bidi="ar-SA"/>
        </w:rPr>
        <w:t>参考文献：</w:t>
      </w:r>
    </w:p>
    <w:p>
      <w:pPr>
        <w:spacing w:line="620" w:lineRule="exact"/>
        <w:ind w:firstLine="480" w:firstLineChars="200"/>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[1]柞水县人民政府2022年工作报告.</w:t>
      </w:r>
    </w:p>
    <w:p>
      <w:pPr>
        <w:spacing w:line="620" w:lineRule="exact"/>
        <w:ind w:firstLine="480" w:firstLineChars="200"/>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[2]柞水县人民政府2021年工作报告.</w:t>
      </w:r>
    </w:p>
    <w:p>
      <w:pPr>
        <w:spacing w:line="620" w:lineRule="exact"/>
        <w:ind w:firstLine="480" w:firstLineChars="200"/>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[3]2021年商洛市统计公报.</w:t>
      </w:r>
    </w:p>
    <w:p>
      <w:pPr>
        <w:spacing w:line="620" w:lineRule="exact"/>
        <w:ind w:firstLine="480" w:firstLineChars="200"/>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[4]柞水县2020年国民经济和社会发展统计公报.</w:t>
      </w:r>
    </w:p>
    <w:p>
      <w:pPr>
        <w:spacing w:line="620" w:lineRule="exact"/>
        <w:ind w:firstLine="480" w:firstLineChars="200"/>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[5]柞水县2021年实施乡村振兴战略工作汇报.</w:t>
      </w:r>
    </w:p>
    <w:p>
      <w:pPr>
        <w:spacing w:line="620" w:lineRule="exact"/>
        <w:ind w:firstLine="480" w:firstLineChars="200"/>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[6]</w:t>
      </w:r>
      <w:r>
        <w:rPr>
          <w:rFonts w:hint="eastAsia" w:ascii="宋体" w:hAnsi="宋体" w:eastAsia="宋体" w:cs="宋体"/>
          <w:i w:val="0"/>
          <w:caps w:val="0"/>
          <w:color w:val="333333"/>
          <w:spacing w:val="0"/>
          <w:sz w:val="24"/>
          <w:szCs w:val="24"/>
          <w:shd w:val="clear" w:fill="FFFFFF"/>
        </w:rPr>
        <w:t>李奇霖,孙永乐.证券业服务乡村振兴研究[J].证券市场导报,2022(01):12-20+78.</w:t>
      </w:r>
    </w:p>
    <w:p>
      <w:pPr>
        <w:spacing w:line="620" w:lineRule="exact"/>
        <w:ind w:firstLine="480" w:firstLineChars="200"/>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[7]中国证券业协会网站.</w:t>
      </w:r>
    </w:p>
    <w:p>
      <w:pPr>
        <w:pStyle w:val="2"/>
        <w:spacing w:line="620" w:lineRule="exact"/>
        <w:ind w:firstLine="480" w:firstLineChars="200"/>
        <w:rPr>
          <w:rFonts w:hint="default" w:ascii="宋体" w:hAnsi="宋体" w:eastAsia="宋体" w:cs="宋体"/>
          <w:sz w:val="24"/>
          <w:szCs w:val="24"/>
          <w:lang w:val="en-US" w:eastAsia="zh-CN"/>
        </w:rPr>
      </w:pPr>
      <w:r>
        <w:rPr>
          <w:rFonts w:hint="eastAsia" w:ascii="宋体" w:hAnsi="宋体" w:eastAsia="宋体" w:cs="宋体"/>
          <w:kern w:val="2"/>
          <w:sz w:val="24"/>
          <w:szCs w:val="24"/>
          <w:vertAlign w:val="baseline"/>
          <w:lang w:val="en-US" w:eastAsia="zh-CN" w:bidi="ar-SA"/>
        </w:rPr>
        <w:t>[8]柞水县人民政府网站.</w:t>
      </w:r>
    </w:p>
    <w:sectPr>
      <w:footerReference r:id="rId4" w:type="default"/>
      <w:pgSz w:w="11906" w:h="16838"/>
      <w:pgMar w:top="1440" w:right="1800" w:bottom="1157"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84440D"/>
    <w:multiLevelType w:val="multilevel"/>
    <w:tmpl w:val="7C84440D"/>
    <w:lvl w:ilvl="0" w:tentative="0">
      <w:start w:val="1"/>
      <w:numFmt w:val="chineseCounting"/>
      <w:suff w:val="nothing"/>
      <w:lvlText w:val="%1、"/>
      <w:lvlJc w:val="left"/>
      <w:pPr>
        <w:ind w:left="284" w:firstLine="0"/>
      </w:pPr>
    </w:lvl>
    <w:lvl w:ilvl="1" w:tentative="0">
      <w:start w:val="1"/>
      <w:numFmt w:val="chineseCounting"/>
      <w:pStyle w:val="5"/>
      <w:suff w:val="nothing"/>
      <w:lvlText w:val="（%2）"/>
      <w:lvlJc w:val="left"/>
      <w:pPr>
        <w:ind w:left="0" w:firstLine="0"/>
      </w:pPr>
      <w:rPr>
        <w:rFonts w:hint="eastAsia" w:ascii="黑体" w:hAnsi="黑体" w:eastAsia="黑体" w:cs="黑体"/>
        <w:sz w:val="28"/>
        <w:szCs w:val="28"/>
      </w:rPr>
    </w:lvl>
    <w:lvl w:ilvl="2" w:tentative="0">
      <w:start w:val="1"/>
      <w:numFmt w:val="decimal"/>
      <w:pStyle w:val="6"/>
      <w:suff w:val="nothing"/>
      <w:lvlText w:val="%3．"/>
      <w:lvlJc w:val="left"/>
      <w:pPr>
        <w:ind w:left="-400" w:firstLine="400"/>
      </w:pPr>
    </w:lvl>
    <w:lvl w:ilvl="3" w:tentative="0">
      <w:start w:val="1"/>
      <w:numFmt w:val="decimal"/>
      <w:suff w:val="nothing"/>
      <w:lvlText w:val="（%4）"/>
      <w:lvlJc w:val="left"/>
      <w:pPr>
        <w:ind w:left="0" w:firstLine="402"/>
      </w:pPr>
    </w:lvl>
    <w:lvl w:ilvl="4" w:tentative="0">
      <w:start w:val="1"/>
      <w:numFmt w:val="decimalEnclosedCircleChinese"/>
      <w:suff w:val="nothing"/>
      <w:lvlText w:val="%5"/>
      <w:lvlJc w:val="left"/>
      <w:pPr>
        <w:ind w:left="0" w:firstLine="402"/>
      </w:pPr>
    </w:lvl>
    <w:lvl w:ilvl="5" w:tentative="0">
      <w:start w:val="1"/>
      <w:numFmt w:val="decimal"/>
      <w:suff w:val="nothing"/>
      <w:lvlText w:val="%6）"/>
      <w:lvlJc w:val="left"/>
      <w:pPr>
        <w:ind w:left="0" w:firstLine="402"/>
      </w:pPr>
    </w:lvl>
    <w:lvl w:ilvl="6" w:tentative="0">
      <w:start w:val="1"/>
      <w:numFmt w:val="lowerLetter"/>
      <w:suff w:val="nothing"/>
      <w:lvlText w:val="%7．"/>
      <w:lvlJc w:val="left"/>
      <w:pPr>
        <w:ind w:left="0" w:firstLine="402"/>
      </w:pPr>
    </w:lvl>
    <w:lvl w:ilvl="7" w:tentative="0">
      <w:start w:val="1"/>
      <w:numFmt w:val="lowerLetter"/>
      <w:suff w:val="nothing"/>
      <w:lvlText w:val="%8）"/>
      <w:lvlJc w:val="left"/>
      <w:pPr>
        <w:ind w:left="0" w:firstLine="402"/>
      </w:pPr>
    </w:lvl>
    <w:lvl w:ilvl="8" w:tentative="0">
      <w:start w:val="1"/>
      <w:numFmt w:val="lowerRoman"/>
      <w:suff w:val="nothing"/>
      <w:lvlText w:val="%9 "/>
      <w:lvlJc w:val="left"/>
      <w:pPr>
        <w:ind w:left="0" w:firstLine="402"/>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9D71F2"/>
    <w:rsid w:val="0093321A"/>
    <w:rsid w:val="024C0ED1"/>
    <w:rsid w:val="03C12272"/>
    <w:rsid w:val="04E9339E"/>
    <w:rsid w:val="06B71657"/>
    <w:rsid w:val="08E62695"/>
    <w:rsid w:val="090037AD"/>
    <w:rsid w:val="0A450B85"/>
    <w:rsid w:val="0AC30636"/>
    <w:rsid w:val="0ADC022C"/>
    <w:rsid w:val="0B371431"/>
    <w:rsid w:val="0BBA6BD5"/>
    <w:rsid w:val="0F083839"/>
    <w:rsid w:val="10D6628B"/>
    <w:rsid w:val="11077440"/>
    <w:rsid w:val="11EE51CE"/>
    <w:rsid w:val="11F826E7"/>
    <w:rsid w:val="12E75C1E"/>
    <w:rsid w:val="1347229E"/>
    <w:rsid w:val="14880BCD"/>
    <w:rsid w:val="150479F3"/>
    <w:rsid w:val="151243EC"/>
    <w:rsid w:val="155E35CA"/>
    <w:rsid w:val="19987B06"/>
    <w:rsid w:val="1AE60D31"/>
    <w:rsid w:val="1C3F69E4"/>
    <w:rsid w:val="1C9A5DF9"/>
    <w:rsid w:val="1CCB4ED8"/>
    <w:rsid w:val="1D540E41"/>
    <w:rsid w:val="1FF009F8"/>
    <w:rsid w:val="22217CEF"/>
    <w:rsid w:val="224569F2"/>
    <w:rsid w:val="25876773"/>
    <w:rsid w:val="25F3496E"/>
    <w:rsid w:val="27361B37"/>
    <w:rsid w:val="286A364F"/>
    <w:rsid w:val="2A417291"/>
    <w:rsid w:val="2DF418C7"/>
    <w:rsid w:val="2E7E4E2C"/>
    <w:rsid w:val="321E5346"/>
    <w:rsid w:val="325641B4"/>
    <w:rsid w:val="343402B4"/>
    <w:rsid w:val="380747A0"/>
    <w:rsid w:val="393A209A"/>
    <w:rsid w:val="3A554665"/>
    <w:rsid w:val="3AFB4F90"/>
    <w:rsid w:val="3D475A63"/>
    <w:rsid w:val="3FD036BE"/>
    <w:rsid w:val="3FE62B08"/>
    <w:rsid w:val="40561034"/>
    <w:rsid w:val="405700E5"/>
    <w:rsid w:val="40F938B3"/>
    <w:rsid w:val="459D71F2"/>
    <w:rsid w:val="46507017"/>
    <w:rsid w:val="47677934"/>
    <w:rsid w:val="4AFA7CBE"/>
    <w:rsid w:val="4CAA2962"/>
    <w:rsid w:val="4EE10D00"/>
    <w:rsid w:val="4F3C492F"/>
    <w:rsid w:val="4FBE712C"/>
    <w:rsid w:val="51B36410"/>
    <w:rsid w:val="51C4585C"/>
    <w:rsid w:val="525D3A20"/>
    <w:rsid w:val="52B42038"/>
    <w:rsid w:val="52D469F5"/>
    <w:rsid w:val="52EC1ED7"/>
    <w:rsid w:val="52F64E50"/>
    <w:rsid w:val="53205C2E"/>
    <w:rsid w:val="53D1600F"/>
    <w:rsid w:val="54637CE2"/>
    <w:rsid w:val="55BA7654"/>
    <w:rsid w:val="55D80A11"/>
    <w:rsid w:val="55DE50EE"/>
    <w:rsid w:val="560D6129"/>
    <w:rsid w:val="56537548"/>
    <w:rsid w:val="57D47456"/>
    <w:rsid w:val="584C1C8D"/>
    <w:rsid w:val="586C3BDA"/>
    <w:rsid w:val="58CC4DC2"/>
    <w:rsid w:val="59935D5E"/>
    <w:rsid w:val="59AD2909"/>
    <w:rsid w:val="5AC04E2B"/>
    <w:rsid w:val="5B8076D9"/>
    <w:rsid w:val="5DC62C1D"/>
    <w:rsid w:val="6687308E"/>
    <w:rsid w:val="687F1974"/>
    <w:rsid w:val="68813FDB"/>
    <w:rsid w:val="6A1F6026"/>
    <w:rsid w:val="6A74118B"/>
    <w:rsid w:val="6B3042FF"/>
    <w:rsid w:val="6B900B29"/>
    <w:rsid w:val="6BC454A9"/>
    <w:rsid w:val="6D6121A5"/>
    <w:rsid w:val="6DCA57D6"/>
    <w:rsid w:val="6EE90259"/>
    <w:rsid w:val="6F050944"/>
    <w:rsid w:val="6FB750CB"/>
    <w:rsid w:val="70654C78"/>
    <w:rsid w:val="7185354B"/>
    <w:rsid w:val="741C2F98"/>
    <w:rsid w:val="752943C4"/>
    <w:rsid w:val="762A5C33"/>
    <w:rsid w:val="76BF1995"/>
    <w:rsid w:val="76F15275"/>
    <w:rsid w:val="776F7D71"/>
    <w:rsid w:val="778107CB"/>
    <w:rsid w:val="77953D6F"/>
    <w:rsid w:val="77B75398"/>
    <w:rsid w:val="78374F2B"/>
    <w:rsid w:val="7AD3168F"/>
    <w:rsid w:val="7E5316BF"/>
    <w:rsid w:val="7E5E2A0F"/>
    <w:rsid w:val="7F060F60"/>
    <w:rsid w:val="7F6369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4"/>
    <w:qFormat/>
    <w:uiPriority w:val="0"/>
    <w:pPr>
      <w:keepNext/>
      <w:keepLines/>
      <w:spacing w:before="340" w:beforeLines="0" w:beforeAutospacing="0" w:after="330" w:afterLines="0" w:afterAutospacing="0" w:line="576" w:lineRule="auto"/>
      <w:jc w:val="left"/>
      <w:outlineLvl w:val="0"/>
    </w:pPr>
    <w:rPr>
      <w:rFonts w:eastAsia="黑体"/>
      <w:b/>
      <w:kern w:val="44"/>
      <w:sz w:val="32"/>
    </w:rPr>
  </w:style>
  <w:style w:type="paragraph" w:styleId="5">
    <w:name w:val="heading 2"/>
    <w:basedOn w:val="1"/>
    <w:next w:val="1"/>
    <w:link w:val="23"/>
    <w:unhideWhenUsed/>
    <w:qFormat/>
    <w:uiPriority w:val="0"/>
    <w:pPr>
      <w:keepNext/>
      <w:keepLines/>
      <w:numPr>
        <w:ilvl w:val="1"/>
        <w:numId w:val="1"/>
      </w:numPr>
      <w:spacing w:before="260" w:after="260" w:line="413" w:lineRule="auto"/>
      <w:ind w:firstLine="880" w:firstLineChars="200"/>
      <w:outlineLvl w:val="1"/>
    </w:pPr>
    <w:rPr>
      <w:rFonts w:ascii="Arial" w:hAnsi="Arial" w:eastAsia="楷体_GB2312"/>
      <w:b/>
      <w:sz w:val="32"/>
    </w:rPr>
  </w:style>
  <w:style w:type="paragraph" w:styleId="6">
    <w:name w:val="heading 3"/>
    <w:basedOn w:val="1"/>
    <w:next w:val="1"/>
    <w:unhideWhenUsed/>
    <w:qFormat/>
    <w:uiPriority w:val="0"/>
    <w:pPr>
      <w:keepNext/>
      <w:keepLines/>
      <w:numPr>
        <w:ilvl w:val="2"/>
        <w:numId w:val="1"/>
      </w:numPr>
      <w:spacing w:before="260" w:after="260" w:line="412" w:lineRule="auto"/>
      <w:outlineLvl w:val="2"/>
    </w:pPr>
    <w:rPr>
      <w:rFonts w:eastAsia="宋体"/>
      <w:b/>
      <w:sz w:val="32"/>
      <w:szCs w:val="24"/>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index 8"/>
    <w:basedOn w:val="1"/>
    <w:next w:val="1"/>
    <w:qFormat/>
    <w:uiPriority w:val="0"/>
    <w:pPr>
      <w:ind w:left="294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footnote text"/>
    <w:basedOn w:val="1"/>
    <w:unhideWhenUsed/>
    <w:qFormat/>
    <w:uiPriority w:val="99"/>
    <w:pPr>
      <w:snapToGrid w:val="0"/>
      <w:jc w:val="left"/>
    </w:pPr>
    <w:rPr>
      <w:sz w:val="18"/>
      <w:szCs w:val="18"/>
    </w:rPr>
  </w:style>
  <w:style w:type="paragraph" w:styleId="11">
    <w:name w:val="toc 2"/>
    <w:basedOn w:val="1"/>
    <w:next w:val="1"/>
    <w:qFormat/>
    <w:uiPriority w:val="0"/>
    <w:pPr>
      <w:ind w:left="420" w:left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5">
    <w:name w:val="Strong"/>
    <w:basedOn w:val="14"/>
    <w:qFormat/>
    <w:uiPriority w:val="0"/>
    <w:rPr>
      <w:b/>
    </w:rPr>
  </w:style>
  <w:style w:type="character" w:styleId="16">
    <w:name w:val="FollowedHyperlink"/>
    <w:basedOn w:val="14"/>
    <w:qFormat/>
    <w:uiPriority w:val="0"/>
    <w:rPr>
      <w:color w:val="800080"/>
      <w:u w:val="none"/>
    </w:rPr>
  </w:style>
  <w:style w:type="character" w:styleId="17">
    <w:name w:val="Hyperlink"/>
    <w:basedOn w:val="14"/>
    <w:qFormat/>
    <w:uiPriority w:val="0"/>
    <w:rPr>
      <w:color w:val="0000FF"/>
      <w:u w:val="single"/>
    </w:rPr>
  </w:style>
  <w:style w:type="character" w:styleId="18">
    <w:name w:val="footnote reference"/>
    <w:basedOn w:val="14"/>
    <w:semiHidden/>
    <w:unhideWhenUsed/>
    <w:qFormat/>
    <w:uiPriority w:val="99"/>
    <w:rPr>
      <w:vertAlign w:val="superscript"/>
    </w:rPr>
  </w:style>
  <w:style w:type="paragraph" w:customStyle="1" w:styleId="19">
    <w:name w:val="正文缩进1"/>
    <w:basedOn w:val="1"/>
    <w:qFormat/>
    <w:uiPriority w:val="0"/>
    <w:pPr>
      <w:ind w:firstLine="880" w:firstLineChars="200"/>
    </w:pPr>
  </w:style>
  <w:style w:type="character" w:customStyle="1" w:styleId="20">
    <w:name w:val="current"/>
    <w:basedOn w:val="14"/>
    <w:qFormat/>
    <w:uiPriority w:val="0"/>
    <w:rPr>
      <w:b/>
      <w:bCs/>
      <w:color w:val="FFFFFF"/>
      <w:bdr w:val="single" w:color="000099" w:sz="6" w:space="0"/>
      <w:shd w:val="clear" w:fill="000099"/>
    </w:rPr>
  </w:style>
  <w:style w:type="character" w:customStyle="1" w:styleId="21">
    <w:name w:val="disabled"/>
    <w:basedOn w:val="14"/>
    <w:qFormat/>
    <w:uiPriority w:val="0"/>
    <w:rPr>
      <w:color w:val="DDDDDD"/>
      <w:bdr w:val="single" w:color="EEEEEE" w:sz="6" w:space="0"/>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 w:type="character" w:customStyle="1" w:styleId="23">
    <w:name w:val="标题 2 Char"/>
    <w:link w:val="5"/>
    <w:qFormat/>
    <w:uiPriority w:val="0"/>
    <w:rPr>
      <w:rFonts w:ascii="Arial" w:hAnsi="Arial" w:eastAsia="楷体_GB2312"/>
      <w:b/>
      <w:sz w:val="32"/>
      <w:szCs w:val="24"/>
    </w:rPr>
  </w:style>
  <w:style w:type="character" w:customStyle="1" w:styleId="24">
    <w:name w:val="标题 1 Char"/>
    <w:link w:val="4"/>
    <w:qFormat/>
    <w:uiPriority w:val="0"/>
    <w:rPr>
      <w:rFonts w:eastAsia="黑体"/>
      <w:b/>
      <w:kern w:val="44"/>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chart" Target="charts/chart2.xml"/><Relationship Id="rId7" Type="http://schemas.openxmlformats.org/officeDocument/2006/relationships/image" Target="media/image1.png"/><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900" b="0" i="0" u="none" strike="noStrike" kern="1200" spc="0" baseline="0">
                <a:solidFill>
                  <a:schemeClr val="tx1">
                    <a:lumMod val="65000"/>
                    <a:lumOff val="35000"/>
                  </a:schemeClr>
                </a:solidFill>
                <a:latin typeface="+mn-lt"/>
                <a:ea typeface="+mn-ea"/>
                <a:cs typeface="+mn-cs"/>
              </a:defRPr>
            </a:pPr>
            <a:r>
              <a:rPr sz="900">
                <a:solidFill>
                  <a:schemeClr val="accent1"/>
                </a:solidFill>
              </a:rPr>
              <a:t>■</a:t>
            </a:r>
            <a:r>
              <a:rPr sz="900"/>
              <a:t>2020年经济数据（亿元）</a:t>
            </a:r>
            <a:endParaRPr sz="900"/>
          </a:p>
          <a:p>
            <a:pPr defTabSz="914400">
              <a:defRPr lang="zh-CN" sz="900" b="0" i="0" u="none" strike="noStrike" kern="1200" spc="0" baseline="0">
                <a:solidFill>
                  <a:schemeClr val="tx1">
                    <a:lumMod val="65000"/>
                    <a:lumOff val="35000"/>
                  </a:schemeClr>
                </a:solidFill>
                <a:latin typeface="+mn-lt"/>
                <a:ea typeface="+mn-ea"/>
                <a:cs typeface="+mn-cs"/>
              </a:defRPr>
            </a:pPr>
            <a:r>
              <a:rPr sz="900">
                <a:solidFill>
                  <a:schemeClr val="accent2"/>
                </a:solidFill>
              </a:rPr>
              <a:t>■</a:t>
            </a:r>
            <a:r>
              <a:rPr sz="900"/>
              <a:t>2021年经济数据（亿元）</a:t>
            </a:r>
            <a:endParaRPr sz="900"/>
          </a:p>
        </c:rich>
      </c:tx>
      <c:layout>
        <c:manualLayout>
          <c:xMode val="edge"/>
          <c:yMode val="edge"/>
          <c:x val="0.37025"/>
          <c:y val="0.897"/>
        </c:manualLayout>
      </c:layout>
      <c:overlay val="0"/>
      <c:spPr>
        <a:noFill/>
        <a:ln>
          <a:noFill/>
        </a:ln>
        <a:effectLst/>
      </c:spPr>
    </c:title>
    <c:autoTitleDeleted val="0"/>
    <c:plotArea>
      <c:layout>
        <c:manualLayout>
          <c:layoutTarget val="inner"/>
          <c:xMode val="edge"/>
          <c:yMode val="edge"/>
          <c:x val="0.091075"/>
          <c:y val="0.0666666666666667"/>
          <c:w val="0.905175"/>
          <c:h val="0.7764"/>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delete val="1"/>
          </c:dLbls>
          <c:cat>
            <c:strRef>
              <c:f>Sheet1!$A$2:$A$5</c:f>
              <c:strCache>
                <c:ptCount val="4"/>
                <c:pt idx="0">
                  <c:v>生产总值</c:v>
                </c:pt>
                <c:pt idx="1">
                  <c:v>农林牧渔业总产值</c:v>
                </c:pt>
                <c:pt idx="2">
                  <c:v>社会消费品零售总额</c:v>
                </c:pt>
                <c:pt idx="3">
                  <c:v>财政总收入</c:v>
                </c:pt>
              </c:strCache>
            </c:strRef>
          </c:cat>
          <c:val>
            <c:numRef>
              <c:f>Sheet1!$B$2:$B$5</c:f>
              <c:numCache>
                <c:formatCode>General</c:formatCode>
                <c:ptCount val="4"/>
                <c:pt idx="0">
                  <c:v>88.34</c:v>
                </c:pt>
                <c:pt idx="1">
                  <c:v>16.18</c:v>
                </c:pt>
                <c:pt idx="2">
                  <c:v>9.67</c:v>
                </c:pt>
                <c:pt idx="3">
                  <c:v>3.99</c:v>
                </c:pt>
              </c:numCache>
            </c:numRef>
          </c:val>
        </c:ser>
        <c:ser>
          <c:idx val="1"/>
          <c:order val="1"/>
          <c:tx>
            <c:strRef>
              <c:f>Sheet1!$C$1</c:f>
              <c:strCache>
                <c:ptCount val="1"/>
                <c:pt idx="0">
                  <c:v>系列 2</c:v>
                </c:pt>
              </c:strCache>
            </c:strRef>
          </c:tx>
          <c:spPr>
            <a:solidFill>
              <a:schemeClr val="accent2"/>
            </a:solidFill>
            <a:ln>
              <a:noFill/>
            </a:ln>
            <a:effectLst/>
          </c:spPr>
          <c:invertIfNegative val="0"/>
          <c:dLbls>
            <c:delete val="1"/>
          </c:dLbls>
          <c:cat>
            <c:strRef>
              <c:f>Sheet1!$A$2:$A$5</c:f>
              <c:strCache>
                <c:ptCount val="4"/>
                <c:pt idx="0">
                  <c:v>生产总值</c:v>
                </c:pt>
                <c:pt idx="1">
                  <c:v>农林牧渔业总产值</c:v>
                </c:pt>
                <c:pt idx="2">
                  <c:v>社会消费品零售总额</c:v>
                </c:pt>
                <c:pt idx="3">
                  <c:v>财政总收入</c:v>
                </c:pt>
              </c:strCache>
            </c:strRef>
          </c:cat>
          <c:val>
            <c:numRef>
              <c:f>Sheet1!$C$2:$C$5</c:f>
              <c:numCache>
                <c:formatCode>General</c:formatCode>
                <c:ptCount val="4"/>
                <c:pt idx="0">
                  <c:v>97.27</c:v>
                </c:pt>
                <c:pt idx="1">
                  <c:v>17.15</c:v>
                </c:pt>
                <c:pt idx="2">
                  <c:v>10.76</c:v>
                </c:pt>
                <c:pt idx="3">
                  <c:v>4.28</c:v>
                </c:pt>
              </c:numCache>
            </c:numRef>
          </c:val>
        </c:ser>
        <c:dLbls>
          <c:showLegendKey val="0"/>
          <c:showVal val="0"/>
          <c:showCatName val="0"/>
          <c:showSerName val="0"/>
          <c:showPercent val="0"/>
          <c:showBubbleSize val="0"/>
        </c:dLbls>
        <c:gapWidth val="219"/>
        <c:overlap val="-27"/>
        <c:axId val="103166191"/>
        <c:axId val="996482524"/>
      </c:barChart>
      <c:catAx>
        <c:axId val="103166191"/>
        <c:scaling>
          <c:orientation val="minMax"/>
        </c:scaling>
        <c:delete val="0"/>
        <c:axPos val="b"/>
        <c:majorTickMark val="none"/>
        <c:minorTickMark val="none"/>
        <c:tickLblPos val="nextTo"/>
        <c:spPr>
          <a:noFill/>
          <a:ln w="6350" cap="flat" cmpd="sng" algn="ctr">
            <a:solidFill>
              <a:schemeClr val="accent2"/>
            </a:solidFill>
            <a:prstDash val="solid"/>
            <a:miter lim="800000"/>
          </a:ln>
          <a:effectLst/>
          <a:sp3d>
            <a:extrusionClr>
              <a:srgbClr val="FFFFFF"/>
            </a:extrusionClr>
            <a:contourClr>
              <a:srgbClr val="FFFFFF"/>
            </a:contourClr>
          </a:sp3d>
        </c:spPr>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crossAx val="996482524"/>
        <c:crosses val="autoZero"/>
        <c:auto val="1"/>
        <c:lblAlgn val="ctr"/>
        <c:lblOffset val="100"/>
        <c:noMultiLvlLbl val="0"/>
      </c:catAx>
      <c:valAx>
        <c:axId val="99648252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in"/>
        <c:minorTickMark val="in"/>
        <c:tickLblPos val="nextTo"/>
        <c:spPr>
          <a:noFill/>
          <a:ln>
            <a:solidFill>
              <a:schemeClr val="accent1"/>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3166191"/>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结对帮扶个数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Sheet1!$A$2:$A$23</c:f>
              <c:strCache>
                <c:ptCount val="22"/>
                <c:pt idx="0">
                  <c:v>云
南</c:v>
                </c:pt>
                <c:pt idx="1">
                  <c:v>西
藏</c:v>
                </c:pt>
                <c:pt idx="2">
                  <c:v>贵
州</c:v>
                </c:pt>
                <c:pt idx="3">
                  <c:v>四
川</c:v>
                </c:pt>
                <c:pt idx="4">
                  <c:v>甘
肃</c:v>
                </c:pt>
                <c:pt idx="5">
                  <c:v>陕
西</c:v>
                </c:pt>
                <c:pt idx="6">
                  <c:v>河
北</c:v>
                </c:pt>
                <c:pt idx="7">
                  <c:v>青
海</c:v>
                </c:pt>
                <c:pt idx="8">
                  <c:v>湖
南</c:v>
                </c:pt>
                <c:pt idx="9">
                  <c:v>河
南</c:v>
                </c:pt>
                <c:pt idx="10">
                  <c:v>山
西</c:v>
                </c:pt>
                <c:pt idx="11">
                  <c:v>广
西</c:v>
                </c:pt>
                <c:pt idx="12">
                  <c:v>新
疆</c:v>
                </c:pt>
                <c:pt idx="13">
                  <c:v>内
蒙</c:v>
                </c:pt>
                <c:pt idx="14">
                  <c:v>湖
北</c:v>
                </c:pt>
                <c:pt idx="15">
                  <c:v>江
西</c:v>
                </c:pt>
                <c:pt idx="16">
                  <c:v>安
徽</c:v>
                </c:pt>
                <c:pt idx="17">
                  <c:v>黑
龙
江</c:v>
                </c:pt>
                <c:pt idx="18">
                  <c:v>重
庆</c:v>
                </c:pt>
                <c:pt idx="19">
                  <c:v>宁
夏</c:v>
                </c:pt>
                <c:pt idx="20">
                  <c:v>吉
林</c:v>
                </c:pt>
                <c:pt idx="21">
                  <c:v>海
南</c:v>
                </c:pt>
              </c:strCache>
            </c:strRef>
          </c:cat>
          <c:val>
            <c:numRef>
              <c:f>Sheet1!$B$2:$B$23</c:f>
              <c:numCache>
                <c:formatCode>General</c:formatCode>
                <c:ptCount val="22"/>
                <c:pt idx="0">
                  <c:v>27</c:v>
                </c:pt>
                <c:pt idx="1">
                  <c:v>13</c:v>
                </c:pt>
                <c:pt idx="2">
                  <c:v>30</c:v>
                </c:pt>
                <c:pt idx="3">
                  <c:v>23</c:v>
                </c:pt>
                <c:pt idx="4">
                  <c:v>11</c:v>
                </c:pt>
                <c:pt idx="5">
                  <c:v>15</c:v>
                </c:pt>
                <c:pt idx="6">
                  <c:v>10</c:v>
                </c:pt>
                <c:pt idx="7">
                  <c:v>3</c:v>
                </c:pt>
                <c:pt idx="8">
                  <c:v>14</c:v>
                </c:pt>
                <c:pt idx="9">
                  <c:v>16</c:v>
                </c:pt>
                <c:pt idx="10">
                  <c:v>8</c:v>
                </c:pt>
                <c:pt idx="11">
                  <c:v>7</c:v>
                </c:pt>
                <c:pt idx="12">
                  <c:v>10</c:v>
                </c:pt>
                <c:pt idx="13">
                  <c:v>12</c:v>
                </c:pt>
                <c:pt idx="14">
                  <c:v>20</c:v>
                </c:pt>
                <c:pt idx="15">
                  <c:v>24</c:v>
                </c:pt>
                <c:pt idx="16">
                  <c:v>18</c:v>
                </c:pt>
                <c:pt idx="17">
                  <c:v>8</c:v>
                </c:pt>
                <c:pt idx="18">
                  <c:v>6</c:v>
                </c:pt>
                <c:pt idx="19">
                  <c:v>9</c:v>
                </c:pt>
                <c:pt idx="20">
                  <c:v>5</c:v>
                </c:pt>
                <c:pt idx="21">
                  <c:v>5</c:v>
                </c:pt>
              </c:numCache>
            </c:numRef>
          </c:val>
        </c:ser>
        <c:dLbls>
          <c:showLegendKey val="0"/>
          <c:showVal val="1"/>
          <c:showCatName val="0"/>
          <c:showSerName val="0"/>
          <c:showPercent val="0"/>
          <c:showBubbleSize val="0"/>
        </c:dLbls>
        <c:gapWidth val="150"/>
        <c:overlap val="100"/>
        <c:axId val="115638995"/>
        <c:axId val="715449117"/>
      </c:barChart>
      <c:catAx>
        <c:axId val="11563899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5449117"/>
        <c:crosses val="autoZero"/>
        <c:auto val="1"/>
        <c:lblAlgn val="ctr"/>
        <c:lblOffset val="100"/>
        <c:noMultiLvlLbl val="0"/>
      </c:catAx>
      <c:valAx>
        <c:axId val="715449117"/>
        <c:scaling>
          <c:orientation val="minMax"/>
          <c:max val="3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638995"/>
        <c:crosses val="autoZero"/>
        <c:crossBetween val="between"/>
        <c:minorUnit val="0.2"/>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2022-07-12T00:18:00Z</dcterms:created>
  <dc:creator>王书忠</dc:creator>
  <cp:lastModifiedBy>王书忠</cp:lastModifiedBy>
  <dcterms:modified xsi:type="dcterms:W3CDTF">2022-09-01T06:11:57Z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8D96B63D31C2433CB839BD45B2B4AA8C</vt:lpwstr>
  </property>
</Properties>
</file>