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华文中宋" w:eastAsia="华文中宋" w:cs="Times New Roman"/>
          <w:b/>
          <w:sz w:val="48"/>
          <w:szCs w:val="48"/>
          <w:highlight w:val="none"/>
        </w:rPr>
      </w:pPr>
      <w:r>
        <w:rPr>
          <w:rFonts w:ascii="Times New Roman" w:hAnsi="华文中宋" w:eastAsia="华文中宋" w:cs="Times New Roman"/>
          <w:b/>
          <w:sz w:val="48"/>
          <w:szCs w:val="48"/>
          <w:highlight w:val="none"/>
        </w:rPr>
        <w:t>证券行业促进乡村振兴公益行动</w:t>
      </w:r>
    </w:p>
    <w:p>
      <w:pPr>
        <w:jc w:val="center"/>
        <w:rPr>
          <w:rFonts w:hint="eastAsia" w:ascii="Times New Roman" w:hAnsi="华文中宋" w:eastAsia="华文中宋" w:cs="Times New Roman"/>
          <w:b/>
          <w:sz w:val="48"/>
          <w:szCs w:val="48"/>
          <w:highlight w:val="none"/>
        </w:rPr>
      </w:pPr>
      <w:r>
        <w:rPr>
          <w:rFonts w:ascii="Times New Roman" w:hAnsi="Times New Roman" w:eastAsia="华文中宋" w:cs="Times New Roman"/>
          <w:b/>
          <w:sz w:val="48"/>
          <w:szCs w:val="48"/>
          <w:highlight w:val="none"/>
        </w:rPr>
        <w:t>20</w:t>
      </w:r>
      <w:r>
        <w:rPr>
          <w:rFonts w:hint="eastAsia" w:ascii="Times New Roman" w:hAnsi="Times New Roman" w:eastAsia="华文中宋" w:cs="Times New Roman"/>
          <w:b/>
          <w:sz w:val="48"/>
          <w:szCs w:val="48"/>
          <w:highlight w:val="none"/>
        </w:rPr>
        <w:t>22</w:t>
      </w:r>
      <w:r>
        <w:rPr>
          <w:rFonts w:ascii="Times New Roman" w:hAnsi="华文中宋" w:eastAsia="华文中宋" w:cs="Times New Roman"/>
          <w:b/>
          <w:sz w:val="48"/>
          <w:szCs w:val="48"/>
          <w:highlight w:val="none"/>
        </w:rPr>
        <w:t>年</w:t>
      </w:r>
      <w:r>
        <w:rPr>
          <w:rFonts w:hint="eastAsia" w:ascii="Times New Roman" w:hAnsi="华文中宋" w:eastAsia="华文中宋" w:cs="Times New Roman"/>
          <w:b/>
          <w:sz w:val="48"/>
          <w:szCs w:val="48"/>
          <w:highlight w:val="none"/>
        </w:rPr>
        <w:t>县域经济调研报告</w:t>
      </w:r>
    </w:p>
    <w:p>
      <w:pPr>
        <w:rPr>
          <w:rFonts w:hint="eastAsia" w:ascii="宋体" w:hAnsi="宋体" w:eastAsia="宋体" w:cs="Times New Roman"/>
          <w:sz w:val="32"/>
          <w:highlight w:val="none"/>
        </w:rPr>
      </w:pPr>
    </w:p>
    <w:p>
      <w:pPr>
        <w:ind w:firstLine="643" w:firstLineChars="200"/>
        <w:rPr>
          <w:rFonts w:hint="eastAsia" w:ascii="仿宋_GB2312" w:hAnsi="宋体" w:eastAsia="仿宋_GB2312" w:cs="Times New Roman"/>
          <w:b/>
          <w:sz w:val="32"/>
          <w:highlight w:val="none"/>
          <w:u w:val="single"/>
        </w:rPr>
      </w:pPr>
      <w:r>
        <w:rPr>
          <w:rFonts w:hint="eastAsia" w:ascii="仿宋_GB2312" w:hAnsi="宋体" w:eastAsia="仿宋_GB2312" w:cs="Times New Roman"/>
          <w:b/>
          <w:sz w:val="32"/>
          <w:highlight w:val="none"/>
        </w:rPr>
        <w:t>报告名称：</w:t>
      </w:r>
      <w:r>
        <w:rPr>
          <w:rFonts w:hint="eastAsia" w:ascii="宋体" w:hAnsi="宋体" w:eastAsia="宋体" w:cs="宋体"/>
          <w:b/>
          <w:sz w:val="32"/>
          <w:highlight w:val="none"/>
          <w:u w:val="single"/>
        </w:rPr>
        <w:t xml:space="preserve"> 金融机构在帮扶助农工作中的系统性探索</w:t>
      </w:r>
      <w:r>
        <w:rPr>
          <w:rFonts w:ascii="仿宋_GB2312" w:hAnsi="宋体" w:eastAsia="仿宋_GB2312" w:cs="Times New Roman"/>
          <w:b/>
          <w:sz w:val="32"/>
          <w:highlight w:val="none"/>
          <w:u w:val="single"/>
        </w:rPr>
        <w:t xml:space="preserve"> </w:t>
      </w:r>
      <w:r>
        <w:rPr>
          <w:rFonts w:ascii="仿宋_GB2312" w:hAnsi="宋体" w:eastAsia="仿宋_GB2312" w:cs="Times New Roman"/>
          <w:b/>
          <w:sz w:val="32"/>
          <w:highlight w:val="none"/>
          <w:u w:val="none"/>
        </w:rPr>
        <w:t xml:space="preserve">     </w:t>
      </w:r>
      <w:r>
        <w:rPr>
          <w:rFonts w:hint="eastAsia" w:ascii="仿宋_GB2312" w:hAnsi="宋体" w:eastAsia="仿宋_GB2312" w:cs="Times New Roman"/>
          <w:b/>
          <w:sz w:val="32"/>
          <w:highlight w:val="none"/>
          <w:u w:val="none"/>
        </w:rPr>
        <w:t xml:space="preserve">  </w:t>
      </w:r>
      <w:r>
        <w:rPr>
          <w:rFonts w:ascii="仿宋_GB2312" w:hAnsi="宋体" w:eastAsia="仿宋_GB2312" w:cs="Times New Roman"/>
          <w:b/>
          <w:sz w:val="32"/>
          <w:highlight w:val="none"/>
          <w:u w:val="none"/>
        </w:rPr>
        <w:t xml:space="preserve"> </w:t>
      </w:r>
      <w:r>
        <w:rPr>
          <w:rFonts w:hint="eastAsia" w:ascii="仿宋_GB2312" w:hAnsi="宋体" w:eastAsia="仿宋_GB2312" w:cs="Times New Roman"/>
          <w:b/>
          <w:sz w:val="32"/>
          <w:highlight w:val="none"/>
          <w:u w:val="none"/>
        </w:rPr>
        <w:t xml:space="preserve">  </w:t>
      </w:r>
      <w:r>
        <w:rPr>
          <w:rFonts w:hint="eastAsia" w:ascii="仿宋_GB2312" w:hAnsi="宋体" w:eastAsia="仿宋_GB2312" w:cs="Times New Roman"/>
          <w:b/>
          <w:sz w:val="32"/>
          <w:highlight w:val="none"/>
          <w:u w:val="single"/>
        </w:rPr>
        <w:t xml:space="preserve">  </w:t>
      </w:r>
    </w:p>
    <w:p>
      <w:pPr>
        <w:rPr>
          <w:rFonts w:hint="eastAsia" w:ascii="仿宋_GB2312" w:hAnsi="宋体" w:eastAsia="仿宋_GB2312" w:cs="Times New Roman"/>
          <w:sz w:val="32"/>
          <w:highlight w:val="none"/>
        </w:rPr>
      </w:pPr>
    </w:p>
    <w:p>
      <w:pPr>
        <w:ind w:firstLine="643" w:firstLineChars="200"/>
        <w:jc w:val="both"/>
        <w:rPr>
          <w:rFonts w:hint="default" w:ascii="宋体" w:hAnsi="宋体" w:eastAsia="宋体" w:cs="宋体"/>
          <w:b/>
          <w:sz w:val="32"/>
          <w:highlight w:val="none"/>
          <w:u w:val="single"/>
          <w:lang w:val="en-US"/>
        </w:rPr>
      </w:pPr>
      <w:r>
        <w:rPr>
          <w:rFonts w:hint="eastAsia" w:ascii="仿宋_GB2312" w:hAnsi="宋体" w:eastAsia="仿宋_GB2312" w:cs="Times New Roman"/>
          <w:b/>
          <w:sz w:val="32"/>
          <w:highlight w:val="none"/>
        </w:rPr>
        <w:t>调研县域</w:t>
      </w:r>
      <w:r>
        <w:rPr>
          <w:rFonts w:hint="eastAsia" w:ascii="仿宋_GB2312" w:hAnsi="宋体" w:eastAsia="仿宋_GB2312" w:cs="Times New Roman"/>
          <w:b/>
          <w:sz w:val="32"/>
          <w:highlight w:val="none"/>
          <w:lang w:eastAsia="zh-CN"/>
        </w:rPr>
        <w:t>：</w:t>
      </w:r>
      <w:r>
        <w:rPr>
          <w:rFonts w:hint="eastAsia" w:ascii="仿宋_GB2312" w:hAnsi="宋体" w:eastAsia="仿宋_GB2312" w:cs="Times New Roman"/>
          <w:sz w:val="32"/>
          <w:highlight w:val="none"/>
          <w:u w:val="single"/>
        </w:rPr>
        <w:t xml:space="preserve"> </w:t>
      </w:r>
      <w:r>
        <w:rPr>
          <w:rFonts w:hint="eastAsia" w:ascii="仿宋_GB2312" w:hAnsi="宋体" w:eastAsia="仿宋_GB2312" w:cs="Times New Roman"/>
          <w:sz w:val="32"/>
          <w:highlight w:val="none"/>
          <w:u w:val="single"/>
          <w:lang w:val="en-US" w:eastAsia="zh-CN"/>
        </w:rPr>
        <w:t xml:space="preserve">            </w:t>
      </w:r>
      <w:r>
        <w:rPr>
          <w:rFonts w:hint="eastAsia" w:ascii="宋体" w:hAnsi="宋体" w:eastAsia="宋体" w:cs="宋体"/>
          <w:b/>
          <w:sz w:val="32"/>
          <w:highlight w:val="none"/>
          <w:u w:val="single"/>
          <w:lang w:val="en-US" w:eastAsia="zh-CN"/>
        </w:rPr>
        <w:t xml:space="preserve">湖北省利川市          </w:t>
      </w:r>
      <w:bookmarkStart w:id="12" w:name="_GoBack"/>
      <w:bookmarkEnd w:id="12"/>
      <w:r>
        <w:rPr>
          <w:rFonts w:hint="eastAsia" w:ascii="宋体" w:hAnsi="宋体" w:eastAsia="宋体" w:cs="宋体"/>
          <w:b/>
          <w:sz w:val="32"/>
          <w:highlight w:val="none"/>
          <w:u w:val="single"/>
          <w:lang w:val="en-US" w:eastAsia="zh-CN"/>
        </w:rPr>
        <w:t xml:space="preserve">   </w:t>
      </w:r>
    </w:p>
    <w:p>
      <w:pPr>
        <w:ind w:firstLine="1449" w:firstLineChars="453"/>
        <w:rPr>
          <w:rFonts w:hint="eastAsia" w:ascii="仿宋_GB2312" w:hAnsi="宋体" w:eastAsia="仿宋_GB2312" w:cs="Times New Roman"/>
          <w:sz w:val="32"/>
          <w:highlight w:val="none"/>
          <w:u w:val="single"/>
        </w:rPr>
      </w:pPr>
    </w:p>
    <w:p>
      <w:pPr>
        <w:ind w:firstLine="643" w:firstLineChars="200"/>
        <w:rPr>
          <w:rFonts w:hint="eastAsia" w:ascii="仿宋_GB2312" w:hAnsi="宋体" w:eastAsia="仿宋_GB2312" w:cs="Times New Roman"/>
          <w:b/>
          <w:sz w:val="32"/>
          <w:highlight w:val="none"/>
          <w:u w:val="single"/>
        </w:rPr>
      </w:pPr>
      <w:r>
        <w:rPr>
          <w:rFonts w:hint="eastAsia" w:ascii="仿宋_GB2312" w:hAnsi="宋体" w:eastAsia="仿宋_GB2312" w:cs="Times New Roman"/>
          <w:b/>
          <w:sz w:val="32"/>
          <w:highlight w:val="none"/>
        </w:rPr>
        <w:t>牵头调研单位</w:t>
      </w:r>
      <w:r>
        <w:rPr>
          <w:rFonts w:hint="eastAsia" w:ascii="仿宋_GB2312" w:hAnsi="宋体" w:eastAsia="仿宋_GB2312" w:cs="Times New Roman"/>
          <w:b/>
          <w:sz w:val="32"/>
          <w:highlight w:val="none"/>
          <w:lang w:eastAsia="zh-CN"/>
        </w:rPr>
        <w:t>：</w:t>
      </w:r>
      <w:r>
        <w:rPr>
          <w:rFonts w:hint="eastAsia" w:ascii="仿宋_GB2312" w:hAnsi="宋体" w:eastAsia="仿宋_GB2312" w:cs="Times New Roman"/>
          <w:b/>
          <w:sz w:val="32"/>
          <w:highlight w:val="none"/>
        </w:rPr>
        <w:t xml:space="preserve"> </w:t>
      </w:r>
      <w:r>
        <w:rPr>
          <w:rFonts w:ascii="仿宋_GB2312" w:hAnsi="宋体" w:eastAsia="仿宋_GB2312" w:cs="Times New Roman"/>
          <w:b/>
          <w:sz w:val="32"/>
          <w:highlight w:val="none"/>
          <w:u w:val="single"/>
        </w:rPr>
        <w:t xml:space="preserve">   </w:t>
      </w:r>
      <w:r>
        <w:rPr>
          <w:rFonts w:hint="default" w:ascii="仿宋_GB2312" w:hAnsi="宋体" w:eastAsia="仿宋_GB2312" w:cs="Times New Roman"/>
          <w:b/>
          <w:sz w:val="32"/>
          <w:highlight w:val="none"/>
          <w:u w:val="single"/>
        </w:rPr>
        <w:t xml:space="preserve"> </w:t>
      </w:r>
      <w:r>
        <w:rPr>
          <w:rFonts w:hint="eastAsia" w:ascii="宋体" w:hAnsi="宋体" w:eastAsia="宋体" w:cs="宋体"/>
          <w:b/>
          <w:sz w:val="32"/>
          <w:highlight w:val="none"/>
          <w:u w:val="single"/>
          <w:lang w:val="en-US" w:eastAsia="zh-CN"/>
        </w:rPr>
        <w:t>天风证券股份有限公司</w:t>
      </w:r>
      <w:r>
        <w:rPr>
          <w:rFonts w:hint="eastAsia" w:ascii="仿宋_GB2312" w:hAnsi="宋体" w:eastAsia="仿宋_GB2312" w:cs="Times New Roman"/>
          <w:b/>
          <w:sz w:val="32"/>
          <w:highlight w:val="none"/>
          <w:u w:val="single"/>
        </w:rPr>
        <w:t xml:space="preserve"> </w:t>
      </w:r>
      <w:r>
        <w:rPr>
          <w:rFonts w:hint="default" w:ascii="仿宋_GB2312" w:hAnsi="宋体" w:eastAsia="仿宋_GB2312" w:cs="Times New Roman"/>
          <w:b/>
          <w:sz w:val="32"/>
          <w:highlight w:val="none"/>
          <w:u w:val="single"/>
        </w:rPr>
        <w:t xml:space="preserve">      </w:t>
      </w:r>
      <w:r>
        <w:rPr>
          <w:rFonts w:hint="eastAsia" w:ascii="仿宋_GB2312" w:hAnsi="宋体" w:eastAsia="仿宋_GB2312" w:cs="Times New Roman"/>
          <w:b/>
          <w:sz w:val="32"/>
          <w:highlight w:val="none"/>
          <w:u w:val="single"/>
        </w:rPr>
        <w:t xml:space="preserve">  </w:t>
      </w:r>
    </w:p>
    <w:p>
      <w:pPr>
        <w:rPr>
          <w:rFonts w:hint="eastAsia" w:ascii="仿宋_GB2312" w:hAnsi="宋体" w:eastAsia="仿宋_GB2312" w:cs="Times New Roman"/>
          <w:sz w:val="32"/>
          <w:highlight w:val="none"/>
          <w:u w:val="single"/>
        </w:rPr>
      </w:pPr>
    </w:p>
    <w:p>
      <w:pPr>
        <w:ind w:firstLine="643" w:firstLineChars="200"/>
        <w:rPr>
          <w:rFonts w:hint="eastAsia" w:ascii="仿宋_GB2312" w:hAnsi="宋体" w:eastAsia="仿宋_GB2312" w:cs="Times New Roman"/>
          <w:b/>
          <w:sz w:val="32"/>
          <w:highlight w:val="none"/>
          <w:u w:val="single"/>
        </w:rPr>
      </w:pPr>
      <w:r>
        <w:rPr>
          <w:rFonts w:hint="eastAsia" w:ascii="仿宋_GB2312" w:hAnsi="宋体" w:eastAsia="仿宋_GB2312" w:cs="Times New Roman"/>
          <w:b/>
          <w:sz w:val="32"/>
          <w:highlight w:val="none"/>
        </w:rPr>
        <w:t>联合调研单位</w:t>
      </w:r>
      <w:r>
        <w:rPr>
          <w:rFonts w:hint="eastAsia" w:ascii="仿宋_GB2312" w:hAnsi="宋体" w:eastAsia="仿宋_GB2312" w:cs="Times New Roman"/>
          <w:b/>
          <w:sz w:val="32"/>
          <w:highlight w:val="none"/>
          <w:lang w:eastAsia="zh-CN"/>
        </w:rPr>
        <w:t>：</w:t>
      </w:r>
      <w:r>
        <w:rPr>
          <w:rFonts w:hint="eastAsia" w:ascii="仿宋_GB2312" w:hAnsi="宋体" w:eastAsia="仿宋_GB2312" w:cs="Times New Roman"/>
          <w:b/>
          <w:sz w:val="32"/>
          <w:highlight w:val="none"/>
        </w:rPr>
        <w:t xml:space="preserve"> </w:t>
      </w:r>
      <w:r>
        <w:rPr>
          <w:rFonts w:ascii="仿宋_GB2312" w:hAnsi="宋体" w:eastAsia="仿宋_GB2312" w:cs="Times New Roman"/>
          <w:b/>
          <w:sz w:val="32"/>
          <w:highlight w:val="none"/>
          <w:u w:val="single"/>
        </w:rPr>
        <w:t xml:space="preserve">       </w:t>
      </w:r>
      <w:r>
        <w:rPr>
          <w:rFonts w:hint="eastAsia" w:ascii="宋体" w:hAnsi="宋体" w:eastAsia="宋体" w:cs="宋体"/>
          <w:b/>
          <w:sz w:val="32"/>
          <w:highlight w:val="none"/>
          <w:u w:val="single"/>
        </w:rPr>
        <w:t xml:space="preserve">    </w:t>
      </w:r>
      <w:r>
        <w:rPr>
          <w:rFonts w:hint="eastAsia" w:ascii="宋体" w:hAnsi="宋体" w:eastAsia="宋体" w:cs="宋体"/>
          <w:b/>
          <w:sz w:val="32"/>
          <w:highlight w:val="none"/>
          <w:u w:val="single"/>
          <w:lang w:val="en-US" w:eastAsia="zh-CN"/>
        </w:rPr>
        <w:t xml:space="preserve">  无  </w:t>
      </w:r>
      <w:r>
        <w:rPr>
          <w:rFonts w:hint="eastAsia" w:ascii="宋体" w:hAnsi="宋体" w:eastAsia="宋体" w:cs="宋体"/>
          <w:b/>
          <w:sz w:val="32"/>
          <w:highlight w:val="none"/>
          <w:u w:val="single"/>
          <w:lang w:eastAsia="zh-CN"/>
        </w:rPr>
        <w:t xml:space="preserve"> </w:t>
      </w:r>
      <w:r>
        <w:rPr>
          <w:rFonts w:hint="default" w:ascii="仿宋_GB2312" w:hAnsi="宋体" w:eastAsia="仿宋_GB2312" w:cs="Times New Roman"/>
          <w:b/>
          <w:sz w:val="32"/>
          <w:highlight w:val="none"/>
          <w:u w:val="single"/>
          <w:lang w:eastAsia="zh-CN"/>
        </w:rPr>
        <w:t xml:space="preserve">       </w:t>
      </w:r>
      <w:r>
        <w:rPr>
          <w:rFonts w:hint="eastAsia" w:ascii="仿宋_GB2312" w:hAnsi="宋体" w:eastAsia="仿宋_GB2312" w:cs="Times New Roman"/>
          <w:b/>
          <w:sz w:val="32"/>
          <w:highlight w:val="none"/>
          <w:u w:val="single"/>
          <w:lang w:val="en-US" w:eastAsia="zh-CN"/>
        </w:rPr>
        <w:t xml:space="preserve">    </w:t>
      </w:r>
      <w:r>
        <w:rPr>
          <w:rFonts w:ascii="仿宋_GB2312" w:hAnsi="宋体" w:eastAsia="仿宋_GB2312" w:cs="Times New Roman"/>
          <w:b/>
          <w:sz w:val="32"/>
          <w:highlight w:val="none"/>
          <w:u w:val="single"/>
        </w:rPr>
        <w:t xml:space="preserve">  </w:t>
      </w:r>
      <w:r>
        <w:rPr>
          <w:rFonts w:hint="eastAsia" w:ascii="仿宋_GB2312" w:hAnsi="宋体" w:eastAsia="仿宋_GB2312" w:cs="Times New Roman"/>
          <w:b/>
          <w:sz w:val="32"/>
          <w:highlight w:val="none"/>
          <w:u w:val="single"/>
        </w:rPr>
        <w:t xml:space="preserve">  </w:t>
      </w:r>
    </w:p>
    <w:p>
      <w:pPr>
        <w:ind w:firstLine="1449" w:firstLineChars="453"/>
        <w:rPr>
          <w:rFonts w:hint="eastAsia" w:ascii="仿宋_GB2312" w:hAnsi="宋体" w:eastAsia="仿宋_GB2312" w:cs="Times New Roman"/>
          <w:sz w:val="32"/>
          <w:highlight w:val="none"/>
        </w:rPr>
      </w:pPr>
    </w:p>
    <w:p>
      <w:pPr>
        <w:ind w:firstLine="643" w:firstLineChars="200"/>
        <w:rPr>
          <w:rFonts w:hint="eastAsia" w:ascii="仿宋_GB2312" w:hAnsi="宋体" w:eastAsia="仿宋_GB2312" w:cs="Times New Roman"/>
          <w:b/>
          <w:sz w:val="32"/>
          <w:highlight w:val="none"/>
          <w:u w:val="single"/>
        </w:rPr>
      </w:pPr>
      <w:r>
        <w:rPr>
          <w:rFonts w:hint="eastAsia" w:ascii="仿宋_GB2312" w:hAnsi="宋体" w:eastAsia="仿宋_GB2312" w:cs="Times New Roman"/>
          <w:b/>
          <w:sz w:val="32"/>
          <w:highlight w:val="none"/>
        </w:rPr>
        <w:t>调研组负责人</w:t>
      </w:r>
      <w:r>
        <w:rPr>
          <w:rFonts w:hint="eastAsia" w:ascii="仿宋_GB2312" w:hAnsi="宋体" w:eastAsia="仿宋_GB2312" w:cs="Times New Roman"/>
          <w:b/>
          <w:sz w:val="32"/>
          <w:highlight w:val="none"/>
          <w:lang w:eastAsia="zh-CN"/>
        </w:rPr>
        <w:t>：</w:t>
      </w:r>
      <w:r>
        <w:rPr>
          <w:rFonts w:ascii="仿宋_GB2312" w:hAnsi="宋体" w:eastAsia="仿宋_GB2312" w:cs="Times New Roman"/>
          <w:b/>
          <w:sz w:val="32"/>
          <w:highlight w:val="none"/>
        </w:rPr>
        <w:t xml:space="preserve"> </w:t>
      </w:r>
      <w:r>
        <w:rPr>
          <w:rFonts w:ascii="仿宋_GB2312" w:hAnsi="宋体" w:eastAsia="仿宋_GB2312" w:cs="Times New Roman"/>
          <w:b/>
          <w:sz w:val="32"/>
          <w:highlight w:val="none"/>
          <w:u w:val="single"/>
        </w:rPr>
        <w:t xml:space="preserve">    </w:t>
      </w:r>
      <w:r>
        <w:rPr>
          <w:rFonts w:hint="eastAsia" w:ascii="仿宋_GB2312" w:hAnsi="宋体" w:eastAsia="仿宋_GB2312" w:cs="Times New Roman"/>
          <w:b/>
          <w:sz w:val="32"/>
          <w:highlight w:val="none"/>
          <w:u w:val="single"/>
          <w:lang w:val="en-US" w:eastAsia="zh-CN"/>
        </w:rPr>
        <w:t xml:space="preserve">       </w:t>
      </w:r>
      <w:r>
        <w:rPr>
          <w:rFonts w:hint="eastAsia" w:ascii="宋体" w:hAnsi="宋体" w:eastAsia="宋体" w:cs="宋体"/>
          <w:b/>
          <w:sz w:val="32"/>
          <w:highlight w:val="none"/>
          <w:u w:val="single"/>
          <w:lang w:val="en-US" w:eastAsia="zh-CN"/>
        </w:rPr>
        <w:t>鞠彬彬</w:t>
      </w:r>
      <w:r>
        <w:rPr>
          <w:rFonts w:ascii="仿宋_GB2312" w:hAnsi="宋体" w:eastAsia="仿宋_GB2312" w:cs="Times New Roman"/>
          <w:b/>
          <w:sz w:val="32"/>
          <w:highlight w:val="none"/>
          <w:u w:val="single"/>
        </w:rPr>
        <w:t xml:space="preserve">  </w:t>
      </w:r>
      <w:r>
        <w:rPr>
          <w:rFonts w:hint="eastAsia" w:ascii="仿宋_GB2312" w:hAnsi="宋体" w:eastAsia="仿宋_GB2312" w:cs="Times New Roman"/>
          <w:b/>
          <w:sz w:val="32"/>
          <w:highlight w:val="none"/>
          <w:u w:val="single"/>
          <w:lang w:val="en-US" w:eastAsia="zh-CN"/>
        </w:rPr>
        <w:t xml:space="preserve">     </w:t>
      </w:r>
      <w:r>
        <w:rPr>
          <w:rFonts w:hint="default" w:ascii="仿宋_GB2312" w:hAnsi="宋体" w:eastAsia="仿宋_GB2312" w:cs="Times New Roman"/>
          <w:b/>
          <w:sz w:val="32"/>
          <w:highlight w:val="none"/>
          <w:u w:val="single"/>
        </w:rPr>
        <w:t xml:space="preserve"> </w:t>
      </w:r>
      <w:r>
        <w:rPr>
          <w:rFonts w:ascii="仿宋_GB2312" w:hAnsi="宋体" w:eastAsia="仿宋_GB2312" w:cs="Times New Roman"/>
          <w:b/>
          <w:sz w:val="32"/>
          <w:highlight w:val="none"/>
          <w:u w:val="single"/>
        </w:rPr>
        <w:t xml:space="preserve">  </w:t>
      </w:r>
      <w:r>
        <w:rPr>
          <w:rFonts w:hint="eastAsia" w:ascii="仿宋_GB2312" w:hAnsi="宋体" w:eastAsia="仿宋_GB2312" w:cs="Times New Roman"/>
          <w:b/>
          <w:sz w:val="32"/>
          <w:highlight w:val="none"/>
          <w:u w:val="single"/>
          <w:lang w:val="en-US" w:eastAsia="zh-CN"/>
        </w:rPr>
        <w:t xml:space="preserve">    </w:t>
      </w:r>
      <w:r>
        <w:rPr>
          <w:rFonts w:hint="eastAsia" w:ascii="仿宋_GB2312" w:hAnsi="宋体" w:eastAsia="仿宋_GB2312" w:cs="Times New Roman"/>
          <w:b/>
          <w:sz w:val="32"/>
          <w:highlight w:val="none"/>
          <w:u w:val="single"/>
        </w:rPr>
        <w:t xml:space="preserve"> </w:t>
      </w:r>
      <w:r>
        <w:rPr>
          <w:rFonts w:ascii="仿宋_GB2312" w:hAnsi="宋体" w:eastAsia="仿宋_GB2312" w:cs="Times New Roman"/>
          <w:b/>
          <w:sz w:val="32"/>
          <w:highlight w:val="none"/>
          <w:u w:val="single"/>
        </w:rPr>
        <w:t xml:space="preserve"> </w:t>
      </w:r>
    </w:p>
    <w:p>
      <w:pPr>
        <w:rPr>
          <w:rFonts w:hint="eastAsia" w:ascii="仿宋_GB2312" w:hAnsi="宋体" w:eastAsia="仿宋_GB2312" w:cs="Times New Roman"/>
          <w:sz w:val="32"/>
          <w:highlight w:val="none"/>
          <w:u w:val="single"/>
        </w:rPr>
      </w:pPr>
    </w:p>
    <w:p>
      <w:pPr>
        <w:ind w:firstLine="643" w:firstLineChars="200"/>
        <w:rPr>
          <w:rFonts w:hint="default" w:ascii="宋体" w:hAnsi="宋体" w:eastAsia="宋体" w:cs="宋体"/>
          <w:b/>
          <w:sz w:val="32"/>
          <w:highlight w:val="none"/>
          <w:u w:val="single"/>
          <w:lang w:val="en-US" w:eastAsia="zh-CN"/>
        </w:rPr>
      </w:pPr>
      <w:r>
        <w:rPr>
          <w:rFonts w:hint="eastAsia" w:ascii="仿宋_GB2312" w:hAnsi="宋体" w:eastAsia="仿宋_GB2312" w:cs="Times New Roman"/>
          <w:b/>
          <w:sz w:val="32"/>
          <w:highlight w:val="none"/>
        </w:rPr>
        <w:t>调研组成员</w:t>
      </w:r>
      <w:r>
        <w:rPr>
          <w:rFonts w:hint="eastAsia" w:ascii="仿宋_GB2312" w:hAnsi="宋体" w:eastAsia="仿宋_GB2312" w:cs="Times New Roman"/>
          <w:b/>
          <w:sz w:val="32"/>
          <w:highlight w:val="none"/>
          <w:lang w:eastAsia="zh-CN"/>
        </w:rPr>
        <w:t>：</w:t>
      </w:r>
      <w:r>
        <w:rPr>
          <w:rFonts w:hint="eastAsia" w:ascii="仿宋_GB2312" w:hAnsi="宋体" w:eastAsia="仿宋_GB2312" w:cs="Times New Roman"/>
          <w:b/>
          <w:sz w:val="32"/>
          <w:highlight w:val="none"/>
          <w:u w:val="none"/>
        </w:rPr>
        <w:t xml:space="preserve"> </w:t>
      </w:r>
      <w:r>
        <w:rPr>
          <w:rFonts w:hint="default" w:ascii="仿宋_GB2312" w:hAnsi="宋体" w:eastAsia="仿宋_GB2312" w:cs="Times New Roman"/>
          <w:b/>
          <w:sz w:val="32"/>
          <w:highlight w:val="none"/>
          <w:u w:val="single"/>
        </w:rPr>
        <w:t xml:space="preserve"> </w:t>
      </w:r>
      <w:r>
        <w:rPr>
          <w:rFonts w:hint="eastAsia" w:ascii="宋体" w:hAnsi="宋体" w:eastAsia="宋体" w:cs="宋体"/>
          <w:b/>
          <w:sz w:val="32"/>
          <w:highlight w:val="none"/>
          <w:u w:val="single"/>
        </w:rPr>
        <w:t>程先知</w:t>
      </w:r>
      <w:r>
        <w:rPr>
          <w:rFonts w:hint="eastAsia" w:ascii="宋体" w:hAnsi="宋体" w:eastAsia="宋体" w:cs="宋体"/>
          <w:b/>
          <w:sz w:val="32"/>
          <w:highlight w:val="none"/>
          <w:u w:val="single"/>
          <w:lang w:eastAsia="zh-CN"/>
        </w:rPr>
        <w:t>、</w:t>
      </w:r>
      <w:r>
        <w:rPr>
          <w:rFonts w:hint="eastAsia" w:ascii="宋体" w:hAnsi="宋体" w:eastAsia="宋体" w:cs="宋体"/>
          <w:b/>
          <w:sz w:val="32"/>
          <w:highlight w:val="none"/>
          <w:u w:val="single"/>
        </w:rPr>
        <w:t>陈铖、陈隆、于傲晨</w:t>
      </w:r>
      <w:r>
        <w:rPr>
          <w:rFonts w:hint="eastAsia" w:ascii="宋体" w:hAnsi="宋体" w:eastAsia="宋体" w:cs="宋体"/>
          <w:b/>
          <w:sz w:val="32"/>
          <w:highlight w:val="none"/>
          <w:u w:val="single"/>
          <w:lang w:eastAsia="zh-CN"/>
        </w:rPr>
        <w:t>、</w:t>
      </w:r>
      <w:r>
        <w:rPr>
          <w:rFonts w:hint="eastAsia" w:ascii="宋体" w:hAnsi="宋体" w:eastAsia="宋体" w:cs="宋体"/>
          <w:b/>
          <w:sz w:val="32"/>
          <w:highlight w:val="none"/>
          <w:u w:val="single"/>
          <w:lang w:val="en-US" w:eastAsia="zh-CN"/>
        </w:rPr>
        <w:t>徐郡瑶</w:t>
      </w:r>
    </w:p>
    <w:p>
      <w:pPr>
        <w:ind w:firstLine="2570" w:firstLineChars="800"/>
        <w:rPr>
          <w:rFonts w:hint="default" w:ascii="仿宋_GB2312" w:hAnsi="宋体" w:eastAsia="仿宋_GB2312" w:cs="Times New Roman"/>
          <w:b/>
          <w:sz w:val="32"/>
          <w:highlight w:val="none"/>
          <w:u w:val="single"/>
          <w:lang w:val="en-US"/>
        </w:rPr>
      </w:pPr>
      <w:r>
        <w:rPr>
          <w:rFonts w:hint="eastAsia" w:ascii="宋体" w:hAnsi="宋体" w:eastAsia="宋体" w:cs="宋体"/>
          <w:b/>
          <w:sz w:val="32"/>
          <w:highlight w:val="none"/>
          <w:u w:val="single"/>
          <w:lang w:val="en-US" w:eastAsia="zh-CN"/>
        </w:rPr>
        <w:t xml:space="preserve">罗颖猷、甘润臣                      </w:t>
      </w:r>
    </w:p>
    <w:p>
      <w:pPr>
        <w:spacing w:line="225" w:lineRule="atLeast"/>
        <w:rPr>
          <w:rFonts w:hint="eastAsia" w:ascii="宋体" w:hAnsi="宋体" w:eastAsia="宋体" w:cs="Times New Roman"/>
          <w:sz w:val="32"/>
          <w:highlight w:val="none"/>
        </w:rPr>
      </w:pPr>
    </w:p>
    <w:p>
      <w:pPr>
        <w:rPr>
          <w:rFonts w:hint="eastAsia" w:ascii="仿宋_GB2312" w:hAnsi="Calibri" w:eastAsia="仿宋_GB2312"/>
          <w:sz w:val="28"/>
          <w:szCs w:val="21"/>
          <w:highlight w:val="none"/>
        </w:rPr>
      </w:pPr>
      <w:r>
        <w:rPr>
          <w:rFonts w:hint="eastAsia" w:ascii="仿宋_GB2312" w:hAnsi="Calibri" w:eastAsia="仿宋_GB2312"/>
          <w:sz w:val="28"/>
          <w:szCs w:val="21"/>
          <w:highlight w:val="none"/>
        </w:rPr>
        <w:br w:type="page"/>
      </w:r>
    </w:p>
    <w:p>
      <w:pPr>
        <w:spacing w:after="156" w:afterLines="50" w:line="720" w:lineRule="auto"/>
        <w:jc w:val="both"/>
        <w:rPr>
          <w:rFonts w:ascii="小标宋" w:hAnsi="小标宋" w:eastAsia="小标宋" w:cs="小标宋"/>
          <w:sz w:val="72"/>
          <w:szCs w:val="72"/>
          <w:highlight w:val="none"/>
          <w:lang w:bidi="ar"/>
        </w:rPr>
        <w:sectPr>
          <w:footerReference r:id="rId4" w:type="default"/>
          <w:pgSz w:w="11906" w:h="16838"/>
          <w:pgMar w:top="1588" w:right="1418" w:bottom="1588" w:left="1418" w:header="851" w:footer="992" w:gutter="0"/>
          <w:cols w:space="425" w:num="1"/>
          <w:docGrid w:type="lines" w:linePitch="312" w:charSpace="0"/>
        </w:sectPr>
      </w:pPr>
    </w:p>
    <w:p>
      <w:pPr>
        <w:spacing w:after="156" w:afterLines="50" w:line="480" w:lineRule="auto"/>
        <w:jc w:val="center"/>
        <w:rPr>
          <w:rFonts w:hint="eastAsia" w:ascii="黑体" w:hAnsi="黑体" w:eastAsia="黑体" w:cs="黑体"/>
          <w:sz w:val="30"/>
          <w:szCs w:val="30"/>
          <w:highlight w:val="none"/>
          <w:lang w:val="en-US" w:eastAsia="zh-Hans" w:bidi="ar"/>
        </w:rPr>
      </w:pPr>
      <w:r>
        <w:rPr>
          <w:rFonts w:hint="eastAsia" w:ascii="黑体" w:hAnsi="黑体" w:eastAsia="黑体" w:cs="黑体"/>
          <w:sz w:val="30"/>
          <w:szCs w:val="30"/>
          <w:highlight w:val="none"/>
          <w:lang w:val="en-US" w:eastAsia="zh-Hans" w:bidi="ar"/>
        </w:rPr>
        <w:t>摘要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习近平总书记关于“三农”工作的重要论述是习近平新时代中国特色社会主义思想的重要组成部分。</w:t>
      </w:r>
      <w:r>
        <w:rPr>
          <w:rFonts w:hint="eastAsia" w:ascii="宋体" w:hAnsi="宋体" w:eastAsia="宋体" w:cs="宋体"/>
          <w:sz w:val="24"/>
          <w:szCs w:val="24"/>
          <w:highlight w:val="none"/>
          <w:lang w:val="en-US" w:eastAsia="zh-CN"/>
        </w:rPr>
        <w:t>天</w:t>
      </w:r>
      <w:r>
        <w:rPr>
          <w:rFonts w:hint="eastAsia" w:ascii="宋体" w:hAnsi="宋体" w:eastAsia="宋体" w:cs="宋体"/>
          <w:sz w:val="24"/>
          <w:szCs w:val="24"/>
          <w:highlight w:val="none"/>
          <w:lang w:val="en-US" w:eastAsia="zh-Hans"/>
        </w:rPr>
        <w:t>风证券深知证券行业是建设现代化经济体系的重要力量，不断借助资本市场</w:t>
      </w:r>
      <w:r>
        <w:rPr>
          <w:rFonts w:hint="eastAsia" w:ascii="宋体" w:hAnsi="宋体" w:eastAsia="宋体" w:cs="宋体"/>
          <w:sz w:val="24"/>
          <w:szCs w:val="24"/>
          <w:highlight w:val="none"/>
          <w:lang w:val="en-US" w:eastAsia="zh-CN"/>
        </w:rPr>
        <w:t>帮扶</w:t>
      </w:r>
      <w:r>
        <w:rPr>
          <w:rFonts w:hint="eastAsia" w:ascii="宋体" w:hAnsi="宋体" w:eastAsia="宋体" w:cs="宋体"/>
          <w:sz w:val="24"/>
          <w:szCs w:val="24"/>
          <w:highlight w:val="none"/>
          <w:lang w:val="en-US" w:eastAsia="zh-Hans"/>
        </w:rPr>
        <w:t>产业振兴，并发挥专业优势培育内生动力。天风证券将持续推动公司巩固脱贫成果，积极开展公益慈善与志愿服务活动，履行社会责任，接续乡村振兴新使命。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Hans"/>
        </w:rPr>
        <w:t>本调研报告围绕志愿服务</w:t>
      </w:r>
      <w:r>
        <w:rPr>
          <w:rFonts w:hint="eastAsia" w:ascii="宋体" w:hAnsi="宋体" w:eastAsia="宋体" w:cs="宋体"/>
          <w:sz w:val="24"/>
          <w:szCs w:val="24"/>
          <w:highlight w:val="none"/>
          <w:lang w:eastAsia="zh-Hans"/>
        </w:rPr>
        <w:t>、党建引领推进乡村振兴工作</w:t>
      </w:r>
      <w:r>
        <w:rPr>
          <w:rFonts w:hint="eastAsia" w:ascii="宋体" w:hAnsi="宋体" w:eastAsia="宋体" w:cs="宋体"/>
          <w:sz w:val="24"/>
          <w:szCs w:val="24"/>
          <w:highlight w:val="none"/>
          <w:lang w:val="en-US" w:eastAsia="zh-Hans"/>
        </w:rPr>
        <w:t>助推脱贫县乡村振兴的现状进行分析，同时结合天风证券志愿服务案例展开研究</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详细阐述了由天风证券率先提出的</w:t>
      </w:r>
      <w:r>
        <w:rPr>
          <w:rFonts w:hint="eastAsia" w:ascii="宋体" w:hAnsi="宋体" w:eastAsia="宋体" w:cs="宋体"/>
          <w:szCs w:val="32"/>
          <w:highlight w:val="none"/>
        </w:rPr>
        <w:t>“四位一体”的立体化造血式金融精准帮扶方略、具有新时代证券特色的</w:t>
      </w:r>
      <w:r>
        <w:rPr>
          <w:rFonts w:hint="default" w:ascii="宋体" w:hAnsi="宋体" w:eastAsia="宋体" w:cs="宋体"/>
          <w:szCs w:val="32"/>
          <w:highlight w:val="none"/>
        </w:rPr>
        <w:t>乡村振兴</w:t>
      </w:r>
      <w:r>
        <w:rPr>
          <w:rFonts w:hint="eastAsia" w:ascii="宋体" w:hAnsi="宋体" w:eastAsia="宋体" w:cs="宋体"/>
          <w:szCs w:val="32"/>
          <w:highlight w:val="none"/>
        </w:rPr>
        <w:t>“六新”模式。</w:t>
      </w:r>
      <w:r>
        <w:rPr>
          <w:rFonts w:hint="eastAsia" w:ascii="宋体" w:hAnsi="宋体" w:eastAsia="宋体" w:cs="宋体"/>
          <w:szCs w:val="32"/>
          <w:highlight w:val="none"/>
          <w:lang w:val="en-US" w:eastAsia="zh-Hans"/>
        </w:rPr>
        <w:t>天风证券</w:t>
      </w:r>
      <w:r>
        <w:rPr>
          <w:rFonts w:hint="eastAsia" w:ascii="宋体" w:hAnsi="宋体" w:eastAsia="宋体" w:cs="宋体"/>
          <w:szCs w:val="32"/>
          <w:highlight w:val="none"/>
          <w:lang w:eastAsia="zh-Hans"/>
        </w:rPr>
        <w:t>着眼长效，构建券商帮扶新标准，</w:t>
      </w:r>
      <w:r>
        <w:rPr>
          <w:rFonts w:hint="eastAsia" w:ascii="宋体" w:hAnsi="宋体" w:eastAsia="宋体" w:cs="宋体"/>
          <w:szCs w:val="32"/>
          <w:highlight w:val="none"/>
          <w:lang w:val="en-US" w:eastAsia="zh-Hans"/>
        </w:rPr>
        <w:t>助力国家推动乡村振兴工作</w:t>
      </w:r>
      <w:r>
        <w:rPr>
          <w:rFonts w:hint="eastAsia" w:ascii="宋体" w:hAnsi="宋体" w:eastAsia="宋体" w:cs="宋体"/>
          <w:szCs w:val="32"/>
          <w:highlight w:val="none"/>
          <w:lang w:eastAsia="zh-Hans"/>
        </w:rPr>
        <w:t>，</w:t>
      </w:r>
      <w:r>
        <w:rPr>
          <w:rFonts w:hint="eastAsia" w:ascii="宋体" w:hAnsi="宋体" w:eastAsia="宋体" w:cs="宋体"/>
          <w:sz w:val="24"/>
          <w:szCs w:val="24"/>
          <w:highlight w:val="none"/>
        </w:rPr>
        <w:t>在中华民族伟大复兴的征程中贡献具有证券特色的天风力量。</w:t>
      </w: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480" w:lineRule="auto"/>
        <w:jc w:val="both"/>
        <w:textAlignment w:val="auto"/>
        <w:rPr>
          <w:rFonts w:hint="eastAsia" w:ascii="黑体" w:hAnsi="黑体" w:eastAsia="黑体" w:cs="黑体"/>
          <w:sz w:val="24"/>
          <w:szCs w:val="24"/>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after="156" w:afterLines="50" w:line="360" w:lineRule="auto"/>
        <w:jc w:val="both"/>
        <w:textAlignment w:val="auto"/>
        <w:rPr>
          <w:rFonts w:hint="eastAsia" w:ascii="仿宋_GB2312" w:hAnsi="仿宋_GB2312" w:eastAsia="仿宋_GB2312" w:cs="仿宋_GB2312"/>
          <w:sz w:val="24"/>
          <w:szCs w:val="24"/>
          <w:highlight w:val="none"/>
          <w:lang w:eastAsia="zh-Hans" w:bidi="ar"/>
        </w:rPr>
      </w:pPr>
      <w:r>
        <w:rPr>
          <w:rFonts w:hint="eastAsia" w:ascii="黑体" w:hAnsi="黑体" w:eastAsia="黑体" w:cs="黑体"/>
          <w:sz w:val="24"/>
          <w:szCs w:val="24"/>
          <w:highlight w:val="none"/>
          <w:lang w:val="en-US" w:eastAsia="zh-Hans" w:bidi="ar"/>
        </w:rPr>
        <w:t>关键词</w:t>
      </w:r>
      <w:r>
        <w:rPr>
          <w:rFonts w:hint="default" w:ascii="黑体" w:hAnsi="黑体" w:eastAsia="黑体" w:cs="黑体"/>
          <w:sz w:val="24"/>
          <w:szCs w:val="24"/>
          <w:highlight w:val="none"/>
          <w:lang w:eastAsia="zh-Hans" w:bidi="ar"/>
        </w:rPr>
        <w:t>：</w:t>
      </w:r>
      <w:r>
        <w:rPr>
          <w:rFonts w:hint="eastAsia" w:ascii="宋体" w:hAnsi="宋体" w:eastAsia="宋体" w:cs="宋体"/>
          <w:sz w:val="24"/>
          <w:szCs w:val="24"/>
          <w:highlight w:val="none"/>
          <w:lang w:val="en-US" w:eastAsia="zh-Hans"/>
        </w:rPr>
        <w:t>乡村振兴</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志愿服务</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党建引领</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四位一体</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立体化造血式金融精准</w:t>
      </w:r>
      <w:r>
        <w:rPr>
          <w:rFonts w:hint="eastAsia" w:ascii="宋体" w:hAnsi="宋体" w:eastAsia="宋体" w:cs="宋体"/>
          <w:sz w:val="24"/>
          <w:szCs w:val="24"/>
          <w:highlight w:val="none"/>
          <w:lang w:eastAsia="zh-Hans"/>
        </w:rPr>
        <w:t>帮扶</w:t>
      </w:r>
      <w:r>
        <w:rPr>
          <w:rFonts w:hint="eastAsia" w:ascii="宋体" w:hAnsi="宋体" w:eastAsia="宋体" w:cs="宋体"/>
          <w:sz w:val="24"/>
          <w:szCs w:val="24"/>
          <w:highlight w:val="none"/>
          <w:lang w:val="en-US" w:eastAsia="zh-Hans"/>
        </w:rPr>
        <w:t>方略</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新时代证券特色</w:t>
      </w:r>
      <w:r>
        <w:rPr>
          <w:rFonts w:hint="default" w:ascii="宋体" w:hAnsi="宋体" w:eastAsia="宋体" w:cs="宋体"/>
          <w:sz w:val="24"/>
          <w:szCs w:val="24"/>
          <w:highlight w:val="none"/>
          <w:lang w:eastAsia="zh-Hans"/>
        </w:rPr>
        <w:t>乡村振兴</w:t>
      </w:r>
      <w:r>
        <w:rPr>
          <w:rFonts w:hint="eastAsia" w:ascii="宋体" w:hAnsi="宋体" w:eastAsia="宋体" w:cs="宋体"/>
          <w:sz w:val="24"/>
          <w:szCs w:val="24"/>
          <w:highlight w:val="none"/>
          <w:lang w:val="en-US" w:eastAsia="zh-Hans"/>
        </w:rPr>
        <w:t>“六新”模式</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券商</w:t>
      </w:r>
      <w:r>
        <w:rPr>
          <w:rFonts w:hint="eastAsia" w:ascii="宋体" w:hAnsi="宋体" w:eastAsia="宋体" w:cs="宋体"/>
          <w:sz w:val="24"/>
          <w:szCs w:val="24"/>
          <w:highlight w:val="none"/>
          <w:lang w:eastAsia="zh-Hans"/>
        </w:rPr>
        <w:t>帮扶</w:t>
      </w:r>
      <w:r>
        <w:rPr>
          <w:rFonts w:hint="eastAsia" w:ascii="宋体" w:hAnsi="宋体" w:eastAsia="宋体" w:cs="宋体"/>
          <w:sz w:val="24"/>
          <w:szCs w:val="24"/>
          <w:highlight w:val="none"/>
          <w:lang w:val="en-US" w:eastAsia="zh-Hans"/>
        </w:rPr>
        <w:t>新标准</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天风力量</w:t>
      </w:r>
    </w:p>
    <w:p>
      <w:pPr>
        <w:spacing w:after="156" w:afterLines="50" w:line="240" w:lineRule="auto"/>
        <w:jc w:val="both"/>
        <w:rPr>
          <w:rFonts w:hint="eastAsia" w:ascii="仿宋_GB2312" w:hAnsi="仿宋_GB2312" w:eastAsia="仿宋_GB2312" w:cs="仿宋_GB2312"/>
          <w:sz w:val="24"/>
          <w:szCs w:val="24"/>
          <w:highlight w:val="none"/>
          <w:lang w:eastAsia="zh-Hans" w:bidi="ar"/>
        </w:rPr>
        <w:sectPr>
          <w:pgSz w:w="11906" w:h="16838"/>
          <w:pgMar w:top="1588" w:right="1418" w:bottom="1588" w:left="1418" w:header="851" w:footer="992" w:gutter="0"/>
          <w:cols w:space="425" w:num="1"/>
          <w:docGrid w:type="lines" w:linePitch="312" w:charSpace="0"/>
        </w:sectPr>
      </w:pPr>
    </w:p>
    <w:sdt>
      <w:sdtPr>
        <w:rPr>
          <w:rFonts w:ascii="宋体" w:hAnsi="宋体" w:eastAsia="宋体" w:cs="Times New Roman"/>
          <w:kern w:val="2"/>
          <w:sz w:val="21"/>
          <w:szCs w:val="24"/>
          <w:highlight w:val="none"/>
          <w:lang w:val="en-US" w:eastAsia="zh-CN" w:bidi="ar-SA"/>
        </w:rPr>
        <w:id w:val="751782314"/>
        <w15:color w:val="DBDBDB"/>
        <w:docPartObj>
          <w:docPartGallery w:val="Table of Contents"/>
          <w:docPartUnique/>
        </w:docPartObj>
      </w:sdtPr>
      <w:sdtEndPr>
        <w:rPr>
          <w:rFonts w:hint="eastAsia" w:ascii="黑体" w:hAnsi="黑体" w:eastAsia="黑体" w:cs="黑体"/>
          <w:kern w:val="2"/>
          <w:sz w:val="24"/>
          <w:szCs w:val="3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hint="eastAsia" w:ascii="黑体" w:hAnsi="黑体" w:eastAsia="黑体" w:cs="黑体"/>
              <w:sz w:val="30"/>
              <w:szCs w:val="30"/>
              <w:highlight w:val="none"/>
            </w:rPr>
            <w:t>目录</w:t>
          </w:r>
        </w:p>
        <w:p>
          <w:pPr>
            <w:pStyle w:val="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 w:val="28"/>
              <w:szCs w:val="28"/>
              <w:highlight w:val="none"/>
              <w:lang w:val="en-US" w:eastAsia="zh-CN"/>
            </w:rPr>
            <w:fldChar w:fldCharType="begin"/>
          </w:r>
          <w:r>
            <w:rPr>
              <w:rFonts w:hint="eastAsia" w:ascii="黑体" w:hAnsi="黑体" w:eastAsia="黑体" w:cs="黑体"/>
              <w:sz w:val="28"/>
              <w:szCs w:val="28"/>
              <w:highlight w:val="none"/>
              <w:lang w:val="en-US" w:eastAsia="zh-CN"/>
            </w:rPr>
            <w:instrText xml:space="preserve">TOC \o "1-3" \h \u </w:instrText>
          </w:r>
          <w:r>
            <w:rPr>
              <w:rFonts w:hint="eastAsia" w:ascii="黑体" w:hAnsi="黑体" w:eastAsia="黑体" w:cs="黑体"/>
              <w:sz w:val="28"/>
              <w:szCs w:val="28"/>
              <w:highlight w:val="none"/>
              <w:lang w:val="en-US" w:eastAsia="zh-CN"/>
            </w:rPr>
            <w:fldChar w:fldCharType="separate"/>
          </w: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_Toc18260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szCs w:val="30"/>
              <w:highlight w:val="none"/>
              <w:lang w:val="en-US" w:eastAsia="zh-CN"/>
            </w:rPr>
            <w:t>前    言</w:t>
          </w:r>
          <w:r>
            <w:rPr>
              <w:highlight w:val="none"/>
            </w:rPr>
            <w:tab/>
          </w:r>
          <w:r>
            <w:rPr>
              <w:highlight w:val="none"/>
            </w:rPr>
            <w:fldChar w:fldCharType="begin"/>
          </w:r>
          <w:r>
            <w:rPr>
              <w:highlight w:val="none"/>
            </w:rPr>
            <w:instrText xml:space="preserve"> PAGEREF _Toc18260 \h </w:instrText>
          </w:r>
          <w:r>
            <w:rPr>
              <w:highlight w:val="none"/>
            </w:rPr>
            <w:fldChar w:fldCharType="separate"/>
          </w:r>
          <w:r>
            <w:rPr>
              <w:highlight w:val="none"/>
            </w:rPr>
            <w:t>1</w:t>
          </w:r>
          <w:r>
            <w:rPr>
              <w:highlight w:val="none"/>
            </w:rPr>
            <w:fldChar w:fldCharType="end"/>
          </w:r>
          <w:r>
            <w:rPr>
              <w:rFonts w:hint="eastAsia" w:ascii="黑体" w:hAnsi="黑体" w:eastAsia="黑体" w:cs="黑体"/>
              <w:szCs w:val="28"/>
              <w:highlight w:val="none"/>
              <w:lang w:val="en-US" w:eastAsia="zh-CN"/>
            </w:rPr>
            <w:fldChar w:fldCharType="end"/>
          </w:r>
        </w:p>
        <w:p>
          <w:pPr>
            <w:pStyle w:val="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_Toc24159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30"/>
              <w:highlight w:val="none"/>
              <w:lang w:val="en-US" w:eastAsia="zh-Hans" w:bidi="ar-SA"/>
            </w:rPr>
            <w:t>第一章</w:t>
          </w:r>
          <w:r>
            <w:rPr>
              <w:rFonts w:hint="default" w:ascii="黑体" w:hAnsi="黑体" w:eastAsia="黑体" w:cs="黑体"/>
              <w:bCs w:val="0"/>
              <w:kern w:val="44"/>
              <w:szCs w:val="30"/>
              <w:highlight w:val="none"/>
              <w:lang w:eastAsia="zh-Hans" w:bidi="ar-SA"/>
            </w:rPr>
            <w:t xml:space="preserve"> </w:t>
          </w:r>
          <w:r>
            <w:rPr>
              <w:rFonts w:hint="eastAsia" w:ascii="黑体" w:hAnsi="黑体" w:eastAsia="黑体" w:cs="黑体"/>
              <w:bCs w:val="0"/>
              <w:kern w:val="44"/>
              <w:szCs w:val="30"/>
              <w:highlight w:val="none"/>
              <w:lang w:val="en-US" w:eastAsia="zh-CN" w:bidi="ar-SA"/>
            </w:rPr>
            <w:t>背景及意义</w:t>
          </w:r>
          <w:r>
            <w:rPr>
              <w:highlight w:val="none"/>
            </w:rPr>
            <w:tab/>
          </w:r>
          <w:r>
            <w:rPr>
              <w:highlight w:val="none"/>
            </w:rPr>
            <w:fldChar w:fldCharType="begin"/>
          </w:r>
          <w:r>
            <w:rPr>
              <w:highlight w:val="none"/>
            </w:rPr>
            <w:instrText xml:space="preserve"> PAGEREF _Toc24159 \h </w:instrText>
          </w:r>
          <w:r>
            <w:rPr>
              <w:highlight w:val="none"/>
            </w:rPr>
            <w:fldChar w:fldCharType="separate"/>
          </w:r>
          <w:r>
            <w:rPr>
              <w:highlight w:val="none"/>
            </w:rPr>
            <w:t>2</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_Toc30823 </w:instrText>
          </w:r>
          <w:r>
            <w:rPr>
              <w:rFonts w:hint="eastAsia" w:ascii="黑体" w:hAnsi="黑体" w:eastAsia="黑体" w:cs="黑体"/>
              <w:szCs w:val="28"/>
              <w:highlight w:val="none"/>
              <w:lang w:val="en-US" w:eastAsia="zh-CN"/>
            </w:rPr>
            <w:fldChar w:fldCharType="separate"/>
          </w:r>
          <w:r>
            <w:rPr>
              <w:rFonts w:hint="default" w:ascii="黑体" w:hAnsi="黑体" w:eastAsia="黑体" w:cs="黑体"/>
              <w:bCs w:val="0"/>
              <w:kern w:val="44"/>
              <w:szCs w:val="28"/>
              <w:highlight w:val="none"/>
              <w:lang w:eastAsia="zh-CN" w:bidi="ar-SA"/>
            </w:rPr>
            <w:t>1</w:t>
          </w:r>
          <w:r>
            <w:rPr>
              <w:rFonts w:hint="eastAsia" w:ascii="黑体" w:hAnsi="黑体" w:eastAsia="黑体" w:cs="黑体"/>
              <w:bCs w:val="0"/>
              <w:kern w:val="44"/>
              <w:szCs w:val="28"/>
              <w:highlight w:val="none"/>
              <w:lang w:val="en-US" w:eastAsia="zh-Hans" w:bidi="ar-SA"/>
            </w:rPr>
            <w:t>.</w:t>
          </w:r>
          <w:r>
            <w:rPr>
              <w:rFonts w:hint="default" w:ascii="黑体" w:hAnsi="黑体" w:eastAsia="黑体" w:cs="黑体"/>
              <w:bCs w:val="0"/>
              <w:kern w:val="44"/>
              <w:szCs w:val="28"/>
              <w:highlight w:val="none"/>
              <w:lang w:eastAsia="zh-Hans" w:bidi="ar-SA"/>
            </w:rPr>
            <w:t>1</w:t>
          </w:r>
          <w:r>
            <w:rPr>
              <w:rFonts w:hint="eastAsia" w:ascii="黑体" w:hAnsi="黑体" w:eastAsia="黑体" w:cs="黑体"/>
              <w:bCs w:val="0"/>
              <w:kern w:val="44"/>
              <w:szCs w:val="28"/>
              <w:highlight w:val="none"/>
              <w:lang w:val="en-US" w:eastAsia="zh-CN" w:bidi="ar-SA"/>
            </w:rPr>
            <w:t>以资源整合为发力点，明确券商在</w:t>
          </w:r>
          <w:r>
            <w:rPr>
              <w:rFonts w:hint="default" w:ascii="黑体" w:hAnsi="黑体" w:eastAsia="黑体" w:cs="黑体"/>
              <w:bCs w:val="0"/>
              <w:kern w:val="44"/>
              <w:szCs w:val="28"/>
              <w:highlight w:val="none"/>
              <w:lang w:eastAsia="zh-CN" w:bidi="ar-SA"/>
            </w:rPr>
            <w:t>帮扶</w:t>
          </w:r>
          <w:r>
            <w:rPr>
              <w:rFonts w:hint="eastAsia" w:ascii="黑体" w:hAnsi="黑体" w:eastAsia="黑体" w:cs="黑体"/>
              <w:bCs w:val="0"/>
              <w:kern w:val="44"/>
              <w:szCs w:val="28"/>
              <w:highlight w:val="none"/>
              <w:lang w:val="en-US" w:eastAsia="zh-CN" w:bidi="ar-SA"/>
            </w:rPr>
            <w:t>中的角色和作用</w:t>
          </w:r>
          <w:r>
            <w:rPr>
              <w:highlight w:val="none"/>
            </w:rPr>
            <w:tab/>
          </w:r>
          <w:r>
            <w:rPr>
              <w:highlight w:val="none"/>
            </w:rPr>
            <w:fldChar w:fldCharType="begin"/>
          </w:r>
          <w:r>
            <w:rPr>
              <w:highlight w:val="none"/>
            </w:rPr>
            <w:instrText xml:space="preserve"> PAGEREF _Toc30823 \h </w:instrText>
          </w:r>
          <w:r>
            <w:rPr>
              <w:highlight w:val="none"/>
            </w:rPr>
            <w:fldChar w:fldCharType="separate"/>
          </w:r>
          <w:r>
            <w:rPr>
              <w:highlight w:val="none"/>
            </w:rPr>
            <w:t>4</w:t>
          </w:r>
          <w:r>
            <w:rPr>
              <w:highlight w:val="none"/>
            </w:rPr>
            <w:fldChar w:fldCharType="end"/>
          </w:r>
          <w:r>
            <w:rPr>
              <w:rFonts w:hint="eastAsia" w:ascii="黑体" w:hAnsi="黑体" w:eastAsia="黑体" w:cs="黑体"/>
              <w:szCs w:val="28"/>
              <w:highlight w:val="none"/>
              <w:lang w:val="en-US" w:eastAsia="zh-CN"/>
            </w:rPr>
            <w:fldChar w:fldCharType="end"/>
          </w:r>
        </w:p>
        <w:p>
          <w:pPr>
            <w:pStyle w:val="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_Toc28871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30"/>
              <w:highlight w:val="none"/>
              <w:lang w:val="en-US" w:eastAsia="zh-Hans" w:bidi="ar-SA"/>
            </w:rPr>
            <w:t>第</w:t>
          </w:r>
          <w:r>
            <w:rPr>
              <w:rFonts w:hint="eastAsia" w:ascii="黑体" w:hAnsi="黑体" w:eastAsia="黑体" w:cs="黑体"/>
              <w:bCs w:val="0"/>
              <w:kern w:val="44"/>
              <w:szCs w:val="30"/>
              <w:highlight w:val="none"/>
              <w:lang w:val="en-US" w:eastAsia="zh-CN" w:bidi="ar-SA"/>
            </w:rPr>
            <w:t>二</w:t>
          </w:r>
          <w:r>
            <w:rPr>
              <w:rFonts w:hint="eastAsia" w:ascii="黑体" w:hAnsi="黑体" w:eastAsia="黑体" w:cs="黑体"/>
              <w:bCs w:val="0"/>
              <w:kern w:val="44"/>
              <w:szCs w:val="30"/>
              <w:highlight w:val="none"/>
              <w:lang w:val="en-US" w:eastAsia="zh-Hans" w:bidi="ar-SA"/>
            </w:rPr>
            <w:t>章</w:t>
          </w:r>
          <w:r>
            <w:rPr>
              <w:rFonts w:hint="default" w:ascii="黑体" w:hAnsi="黑体" w:eastAsia="黑体" w:cs="黑体"/>
              <w:bCs w:val="0"/>
              <w:kern w:val="44"/>
              <w:szCs w:val="30"/>
              <w:highlight w:val="none"/>
              <w:lang w:eastAsia="zh-Hans" w:bidi="ar-SA"/>
            </w:rPr>
            <w:t xml:space="preserve"> </w:t>
          </w:r>
          <w:r>
            <w:rPr>
              <w:rFonts w:hint="eastAsia" w:ascii="黑体" w:hAnsi="黑体" w:eastAsia="黑体" w:cs="黑体"/>
              <w:bCs w:val="0"/>
              <w:kern w:val="44"/>
              <w:szCs w:val="30"/>
              <w:highlight w:val="none"/>
              <w:lang w:val="en-US" w:eastAsia="zh-CN" w:bidi="ar-SA"/>
            </w:rPr>
            <w:t>助力乡村振兴举措</w:t>
          </w:r>
          <w:r>
            <w:rPr>
              <w:highlight w:val="none"/>
            </w:rPr>
            <w:tab/>
          </w:r>
          <w:r>
            <w:rPr>
              <w:highlight w:val="none"/>
            </w:rPr>
            <w:fldChar w:fldCharType="begin"/>
          </w:r>
          <w:r>
            <w:rPr>
              <w:highlight w:val="none"/>
            </w:rPr>
            <w:instrText xml:space="preserve"> PAGEREF _Toc28871 \h </w:instrText>
          </w:r>
          <w:r>
            <w:rPr>
              <w:highlight w:val="none"/>
            </w:rPr>
            <w:fldChar w:fldCharType="separate"/>
          </w:r>
          <w:r>
            <w:rPr>
              <w:highlight w:val="none"/>
            </w:rPr>
            <w:t>6</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_Toc18545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28"/>
              <w:highlight w:val="none"/>
              <w:lang w:val="en-US" w:eastAsia="zh-CN" w:bidi="ar-SA"/>
            </w:rPr>
            <w:t>2.1</w:t>
          </w:r>
          <w:r>
            <w:rPr>
              <w:rFonts w:hint="default" w:ascii="黑体" w:hAnsi="黑体" w:eastAsia="黑体" w:cs="黑体"/>
              <w:bCs w:val="0"/>
              <w:kern w:val="44"/>
              <w:szCs w:val="28"/>
              <w:highlight w:val="none"/>
              <w:lang w:eastAsia="zh-Hans" w:bidi="ar-SA"/>
            </w:rPr>
            <w:t>产业帮扶：对接资本市场，助力产业发展</w:t>
          </w:r>
          <w:r>
            <w:rPr>
              <w:highlight w:val="none"/>
            </w:rPr>
            <w:tab/>
          </w:r>
          <w:r>
            <w:rPr>
              <w:highlight w:val="none"/>
            </w:rPr>
            <w:fldChar w:fldCharType="begin"/>
          </w:r>
          <w:r>
            <w:rPr>
              <w:highlight w:val="none"/>
            </w:rPr>
            <w:instrText xml:space="preserve"> PAGEREF _Toc18545 \h </w:instrText>
          </w:r>
          <w:r>
            <w:rPr>
              <w:highlight w:val="none"/>
            </w:rPr>
            <w:fldChar w:fldCharType="separate"/>
          </w:r>
          <w:r>
            <w:rPr>
              <w:highlight w:val="none"/>
            </w:rPr>
            <w:t>7</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_Toc645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28"/>
              <w:highlight w:val="none"/>
              <w:lang w:val="en-US" w:eastAsia="zh-CN" w:bidi="ar-SA"/>
            </w:rPr>
            <w:t>2.2</w:t>
          </w:r>
          <w:r>
            <w:rPr>
              <w:rFonts w:hint="default" w:ascii="黑体" w:hAnsi="黑体" w:eastAsia="黑体" w:cs="黑体"/>
              <w:bCs w:val="0"/>
              <w:kern w:val="44"/>
              <w:szCs w:val="28"/>
              <w:highlight w:val="none"/>
              <w:lang w:eastAsia="zh-Hans" w:bidi="ar-SA"/>
            </w:rPr>
            <w:t>智慧帮扶：驻村扶智，引导县域融资新观念</w:t>
          </w:r>
          <w:r>
            <w:rPr>
              <w:highlight w:val="none"/>
            </w:rPr>
            <w:tab/>
          </w:r>
          <w:r>
            <w:rPr>
              <w:highlight w:val="none"/>
            </w:rPr>
            <w:fldChar w:fldCharType="begin"/>
          </w:r>
          <w:r>
            <w:rPr>
              <w:highlight w:val="none"/>
            </w:rPr>
            <w:instrText xml:space="preserve"> PAGEREF _Toc645 \h </w:instrText>
          </w:r>
          <w:r>
            <w:rPr>
              <w:highlight w:val="none"/>
            </w:rPr>
            <w:fldChar w:fldCharType="separate"/>
          </w:r>
          <w:r>
            <w:rPr>
              <w:highlight w:val="none"/>
            </w:rPr>
            <w:t>10</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_Toc18116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28"/>
              <w:highlight w:val="none"/>
              <w:lang w:val="en-US" w:eastAsia="zh-CN" w:bidi="ar-SA"/>
            </w:rPr>
            <w:t>2.3</w:t>
          </w:r>
          <w:r>
            <w:rPr>
              <w:rFonts w:hint="default" w:ascii="黑体" w:hAnsi="黑体" w:eastAsia="黑体" w:cs="黑体"/>
              <w:bCs w:val="0"/>
              <w:kern w:val="44"/>
              <w:szCs w:val="28"/>
              <w:highlight w:val="none"/>
              <w:lang w:eastAsia="zh-Hans" w:bidi="ar-SA"/>
            </w:rPr>
            <w:t>消费帮扶：品牌化思维，为帮扶产品增值</w:t>
          </w:r>
          <w:r>
            <w:rPr>
              <w:highlight w:val="none"/>
            </w:rPr>
            <w:tab/>
          </w:r>
          <w:r>
            <w:rPr>
              <w:highlight w:val="none"/>
            </w:rPr>
            <w:fldChar w:fldCharType="begin"/>
          </w:r>
          <w:r>
            <w:rPr>
              <w:highlight w:val="none"/>
            </w:rPr>
            <w:instrText xml:space="preserve"> PAGEREF _Toc18116 \h </w:instrText>
          </w:r>
          <w:r>
            <w:rPr>
              <w:highlight w:val="none"/>
            </w:rPr>
            <w:fldChar w:fldCharType="separate"/>
          </w:r>
          <w:r>
            <w:rPr>
              <w:highlight w:val="none"/>
            </w:rPr>
            <w:t>13</w:t>
          </w:r>
          <w:r>
            <w:rPr>
              <w:highlight w:val="none"/>
            </w:rPr>
            <w:fldChar w:fldCharType="end"/>
          </w:r>
          <w:r>
            <w:rPr>
              <w:rFonts w:hint="eastAsia" w:ascii="黑体" w:hAnsi="黑体" w:eastAsia="黑体" w:cs="黑体"/>
              <w:szCs w:val="28"/>
              <w:highlight w:val="none"/>
              <w:lang w:val="en-US" w:eastAsia="zh-CN"/>
            </w:rPr>
            <w:fldChar w:fldCharType="end"/>
          </w:r>
        </w:p>
        <w:p>
          <w:pPr>
            <w:pStyle w:val="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_Toc16774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30"/>
              <w:highlight w:val="none"/>
              <w:lang w:val="en-US" w:eastAsia="zh-Hans" w:bidi="ar-SA"/>
            </w:rPr>
            <w:t>第</w:t>
          </w:r>
          <w:r>
            <w:rPr>
              <w:rFonts w:hint="eastAsia" w:ascii="黑体" w:hAnsi="黑体" w:eastAsia="黑体" w:cs="黑体"/>
              <w:bCs w:val="0"/>
              <w:kern w:val="44"/>
              <w:szCs w:val="30"/>
              <w:highlight w:val="none"/>
              <w:lang w:val="en-US" w:eastAsia="zh-CN" w:bidi="ar-SA"/>
            </w:rPr>
            <w:t>三</w:t>
          </w:r>
          <w:r>
            <w:rPr>
              <w:rFonts w:hint="eastAsia" w:ascii="黑体" w:hAnsi="黑体" w:eastAsia="黑体" w:cs="黑体"/>
              <w:bCs w:val="0"/>
              <w:kern w:val="44"/>
              <w:szCs w:val="30"/>
              <w:highlight w:val="none"/>
              <w:lang w:val="en-US" w:eastAsia="zh-Hans" w:bidi="ar-SA"/>
            </w:rPr>
            <w:t>章</w:t>
          </w:r>
          <w:r>
            <w:rPr>
              <w:rFonts w:hint="default" w:ascii="黑体" w:hAnsi="黑体" w:eastAsia="黑体" w:cs="黑体"/>
              <w:bCs w:val="0"/>
              <w:kern w:val="44"/>
              <w:szCs w:val="30"/>
              <w:highlight w:val="none"/>
              <w:lang w:eastAsia="zh-Hans" w:bidi="ar-SA"/>
            </w:rPr>
            <w:t xml:space="preserve"> 党建引领志愿服务</w:t>
          </w:r>
          <w:r>
            <w:rPr>
              <w:rFonts w:hint="eastAsia" w:ascii="黑体" w:hAnsi="黑体" w:eastAsia="黑体" w:cs="黑体"/>
              <w:bCs w:val="0"/>
              <w:kern w:val="44"/>
              <w:szCs w:val="30"/>
              <w:highlight w:val="none"/>
              <w:lang w:val="en-US" w:eastAsia="zh-Hans" w:bidi="ar-SA"/>
            </w:rPr>
            <w:t>推动</w:t>
          </w:r>
          <w:r>
            <w:rPr>
              <w:rFonts w:hint="default" w:ascii="黑体" w:hAnsi="黑体" w:eastAsia="黑体" w:cs="黑体"/>
              <w:bCs w:val="0"/>
              <w:kern w:val="44"/>
              <w:szCs w:val="30"/>
              <w:highlight w:val="none"/>
              <w:lang w:eastAsia="zh-Hans" w:bidi="ar-SA"/>
            </w:rPr>
            <w:t>乡村振兴工作</w:t>
          </w:r>
          <w:r>
            <w:rPr>
              <w:highlight w:val="none"/>
            </w:rPr>
            <w:tab/>
          </w:r>
          <w:r>
            <w:rPr>
              <w:highlight w:val="none"/>
            </w:rPr>
            <w:fldChar w:fldCharType="begin"/>
          </w:r>
          <w:r>
            <w:rPr>
              <w:highlight w:val="none"/>
            </w:rPr>
            <w:instrText xml:space="preserve"> PAGEREF _Toc16774 \h </w:instrText>
          </w:r>
          <w:r>
            <w:rPr>
              <w:highlight w:val="none"/>
            </w:rPr>
            <w:fldChar w:fldCharType="separate"/>
          </w:r>
          <w:r>
            <w:rPr>
              <w:highlight w:val="none"/>
            </w:rPr>
            <w:t>16</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_Toc24050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28"/>
              <w:highlight w:val="none"/>
              <w:lang w:val="en-US" w:eastAsia="zh-CN" w:bidi="ar-SA"/>
            </w:rPr>
            <w:t>3</w:t>
          </w:r>
          <w:r>
            <w:rPr>
              <w:rFonts w:hint="eastAsia" w:ascii="黑体" w:hAnsi="黑体" w:eastAsia="黑体" w:cs="黑体"/>
              <w:bCs w:val="0"/>
              <w:kern w:val="44"/>
              <w:szCs w:val="28"/>
              <w:highlight w:val="none"/>
              <w:lang w:val="en-US" w:eastAsia="zh-Hans" w:bidi="ar-SA"/>
            </w:rPr>
            <w:t>.</w:t>
          </w:r>
          <w:r>
            <w:rPr>
              <w:rFonts w:hint="default" w:ascii="黑体" w:hAnsi="黑体" w:eastAsia="黑体" w:cs="黑体"/>
              <w:bCs w:val="0"/>
              <w:kern w:val="44"/>
              <w:szCs w:val="28"/>
              <w:highlight w:val="none"/>
              <w:lang w:eastAsia="zh-Hans" w:bidi="ar-SA"/>
            </w:rPr>
            <w:t>1坚持党的领导的正确性和必要</w:t>
          </w:r>
          <w:r>
            <w:rPr>
              <w:rFonts w:hint="eastAsia" w:ascii="黑体" w:hAnsi="黑体" w:eastAsia="黑体" w:cs="黑体"/>
              <w:bCs w:val="0"/>
              <w:kern w:val="44"/>
              <w:szCs w:val="28"/>
              <w:highlight w:val="none"/>
              <w:lang w:val="en-US" w:eastAsia="zh-Hans" w:bidi="ar-SA"/>
            </w:rPr>
            <w:t>性</w:t>
          </w:r>
          <w:r>
            <w:rPr>
              <w:highlight w:val="none"/>
            </w:rPr>
            <w:tab/>
          </w:r>
          <w:r>
            <w:rPr>
              <w:highlight w:val="none"/>
            </w:rPr>
            <w:fldChar w:fldCharType="begin"/>
          </w:r>
          <w:r>
            <w:rPr>
              <w:highlight w:val="none"/>
            </w:rPr>
            <w:instrText xml:space="preserve"> PAGEREF _Toc24050 \h </w:instrText>
          </w:r>
          <w:r>
            <w:rPr>
              <w:highlight w:val="none"/>
            </w:rPr>
            <w:fldChar w:fldCharType="separate"/>
          </w:r>
          <w:r>
            <w:rPr>
              <w:highlight w:val="none"/>
            </w:rPr>
            <w:t>17</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_Toc30983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28"/>
              <w:highlight w:val="none"/>
              <w:lang w:val="en-US" w:eastAsia="zh-CN" w:bidi="ar-SA"/>
            </w:rPr>
            <w:t>3.2</w:t>
          </w:r>
          <w:r>
            <w:rPr>
              <w:rFonts w:hint="default" w:ascii="黑体" w:hAnsi="黑体" w:eastAsia="黑体" w:cs="黑体"/>
              <w:bCs w:val="0"/>
              <w:kern w:val="44"/>
              <w:szCs w:val="28"/>
              <w:highlight w:val="none"/>
              <w:lang w:eastAsia="zh-Hans" w:bidi="ar-SA"/>
            </w:rPr>
            <w:t>公益帮扶：党建引领，凝聚公益帮扶新力量</w:t>
          </w:r>
          <w:r>
            <w:rPr>
              <w:highlight w:val="none"/>
            </w:rPr>
            <w:tab/>
          </w:r>
          <w:r>
            <w:rPr>
              <w:highlight w:val="none"/>
            </w:rPr>
            <w:fldChar w:fldCharType="begin"/>
          </w:r>
          <w:r>
            <w:rPr>
              <w:highlight w:val="none"/>
            </w:rPr>
            <w:instrText xml:space="preserve"> PAGEREF _Toc30983 \h </w:instrText>
          </w:r>
          <w:r>
            <w:rPr>
              <w:highlight w:val="none"/>
            </w:rPr>
            <w:fldChar w:fldCharType="separate"/>
          </w:r>
          <w:r>
            <w:rPr>
              <w:highlight w:val="none"/>
            </w:rPr>
            <w:t>19</w:t>
          </w:r>
          <w:r>
            <w:rPr>
              <w:highlight w:val="none"/>
            </w:rPr>
            <w:fldChar w:fldCharType="end"/>
          </w:r>
          <w:r>
            <w:rPr>
              <w:rFonts w:hint="eastAsia" w:ascii="黑体" w:hAnsi="黑体" w:eastAsia="黑体" w:cs="黑体"/>
              <w:szCs w:val="28"/>
              <w:highlight w:val="none"/>
              <w:lang w:val="en-US" w:eastAsia="zh-CN"/>
            </w:rPr>
            <w:fldChar w:fldCharType="end"/>
          </w:r>
        </w:p>
        <w:p>
          <w:pPr>
            <w:pStyle w:val="4"/>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_Toc21361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30"/>
              <w:highlight w:val="none"/>
              <w:lang w:val="en-US" w:eastAsia="zh-Hans" w:bidi="ar-SA"/>
            </w:rPr>
            <w:t>第</w:t>
          </w:r>
          <w:r>
            <w:rPr>
              <w:rFonts w:hint="eastAsia" w:ascii="黑体" w:hAnsi="黑体" w:eastAsia="黑体" w:cs="黑体"/>
              <w:bCs w:val="0"/>
              <w:kern w:val="44"/>
              <w:szCs w:val="30"/>
              <w:highlight w:val="none"/>
              <w:lang w:val="en-US" w:eastAsia="zh-CN" w:bidi="ar-SA"/>
            </w:rPr>
            <w:t>四</w:t>
          </w:r>
          <w:r>
            <w:rPr>
              <w:rFonts w:hint="eastAsia" w:ascii="黑体" w:hAnsi="黑体" w:eastAsia="黑体" w:cs="黑体"/>
              <w:bCs w:val="0"/>
              <w:kern w:val="44"/>
              <w:szCs w:val="30"/>
              <w:highlight w:val="none"/>
              <w:lang w:val="en-US" w:eastAsia="zh-Hans" w:bidi="ar-SA"/>
            </w:rPr>
            <w:t>章</w:t>
          </w:r>
          <w:r>
            <w:rPr>
              <w:rFonts w:hint="default" w:ascii="黑体" w:hAnsi="黑体" w:eastAsia="黑体" w:cs="黑体"/>
              <w:bCs w:val="0"/>
              <w:kern w:val="44"/>
              <w:szCs w:val="30"/>
              <w:highlight w:val="none"/>
              <w:lang w:eastAsia="zh-Hans" w:bidi="ar-SA"/>
            </w:rPr>
            <w:t xml:space="preserve"> </w:t>
          </w:r>
          <w:r>
            <w:rPr>
              <w:rFonts w:hint="eastAsia" w:ascii="黑体" w:hAnsi="黑体" w:eastAsia="黑体" w:cs="黑体"/>
              <w:bCs w:val="0"/>
              <w:kern w:val="44"/>
              <w:szCs w:val="30"/>
              <w:highlight w:val="none"/>
              <w:lang w:val="en-US" w:eastAsia="zh-CN" w:bidi="ar-SA"/>
            </w:rPr>
            <w:t>结论分析</w:t>
          </w:r>
          <w:r>
            <w:rPr>
              <w:highlight w:val="none"/>
            </w:rPr>
            <w:tab/>
          </w:r>
          <w:r>
            <w:rPr>
              <w:highlight w:val="none"/>
            </w:rPr>
            <w:fldChar w:fldCharType="begin"/>
          </w:r>
          <w:r>
            <w:rPr>
              <w:highlight w:val="none"/>
            </w:rPr>
            <w:instrText xml:space="preserve"> PAGEREF _Toc21361 \h </w:instrText>
          </w:r>
          <w:r>
            <w:rPr>
              <w:highlight w:val="none"/>
            </w:rPr>
            <w:fldChar w:fldCharType="separate"/>
          </w:r>
          <w:r>
            <w:rPr>
              <w:highlight w:val="none"/>
            </w:rPr>
            <w:t>22</w:t>
          </w:r>
          <w:r>
            <w:rPr>
              <w:highlight w:val="none"/>
            </w:rPr>
            <w:fldChar w:fldCharType="end"/>
          </w:r>
          <w:r>
            <w:rPr>
              <w:rFonts w:hint="eastAsia" w:ascii="黑体" w:hAnsi="黑体" w:eastAsia="黑体" w:cs="黑体"/>
              <w:szCs w:val="28"/>
              <w:highlight w:val="none"/>
              <w:lang w:val="en-US" w:eastAsia="zh-CN"/>
            </w:rPr>
            <w:fldChar w:fldCharType="end"/>
          </w:r>
        </w:p>
        <w:p>
          <w:pPr>
            <w:pStyle w:val="6"/>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highlight w:val="none"/>
            </w:rPr>
          </w:pPr>
          <w:r>
            <w:rPr>
              <w:rFonts w:hint="eastAsia" w:ascii="黑体" w:hAnsi="黑体" w:eastAsia="黑体" w:cs="黑体"/>
              <w:szCs w:val="28"/>
              <w:highlight w:val="none"/>
              <w:lang w:val="en-US" w:eastAsia="zh-CN"/>
            </w:rPr>
            <w:fldChar w:fldCharType="begin"/>
          </w:r>
          <w:r>
            <w:rPr>
              <w:rFonts w:hint="eastAsia" w:ascii="黑体" w:hAnsi="黑体" w:eastAsia="黑体" w:cs="黑体"/>
              <w:szCs w:val="28"/>
              <w:highlight w:val="none"/>
              <w:lang w:val="en-US" w:eastAsia="zh-CN"/>
            </w:rPr>
            <w:instrText xml:space="preserve"> HYPERLINK \l _Toc2852 </w:instrText>
          </w:r>
          <w:r>
            <w:rPr>
              <w:rFonts w:hint="eastAsia" w:ascii="黑体" w:hAnsi="黑体" w:eastAsia="黑体" w:cs="黑体"/>
              <w:szCs w:val="28"/>
              <w:highlight w:val="none"/>
              <w:lang w:val="en-US" w:eastAsia="zh-CN"/>
            </w:rPr>
            <w:fldChar w:fldCharType="separate"/>
          </w:r>
          <w:r>
            <w:rPr>
              <w:rFonts w:hint="eastAsia" w:ascii="黑体" w:hAnsi="黑体" w:eastAsia="黑体" w:cs="黑体"/>
              <w:bCs w:val="0"/>
              <w:kern w:val="44"/>
              <w:szCs w:val="28"/>
              <w:highlight w:val="none"/>
              <w:lang w:val="en-US" w:eastAsia="zh-CN" w:bidi="ar-SA"/>
            </w:rPr>
            <w:t>4.1</w:t>
          </w:r>
          <w:r>
            <w:rPr>
              <w:rFonts w:hint="default" w:ascii="黑体" w:hAnsi="黑体" w:eastAsia="黑体" w:cs="黑体"/>
              <w:bCs w:val="0"/>
              <w:kern w:val="44"/>
              <w:szCs w:val="28"/>
              <w:highlight w:val="none"/>
              <w:lang w:eastAsia="zh-Hans" w:bidi="ar-SA"/>
            </w:rPr>
            <w:t>着眼长效，构建券商帮扶新标准</w:t>
          </w:r>
          <w:r>
            <w:rPr>
              <w:highlight w:val="none"/>
            </w:rPr>
            <w:tab/>
          </w:r>
          <w:r>
            <w:rPr>
              <w:highlight w:val="none"/>
            </w:rPr>
            <w:fldChar w:fldCharType="begin"/>
          </w:r>
          <w:r>
            <w:rPr>
              <w:highlight w:val="none"/>
            </w:rPr>
            <w:instrText xml:space="preserve"> PAGEREF _Toc2852 \h </w:instrText>
          </w:r>
          <w:r>
            <w:rPr>
              <w:highlight w:val="none"/>
            </w:rPr>
            <w:fldChar w:fldCharType="separate"/>
          </w:r>
          <w:r>
            <w:rPr>
              <w:highlight w:val="none"/>
            </w:rPr>
            <w:t>23</w:t>
          </w:r>
          <w:r>
            <w:rPr>
              <w:highlight w:val="none"/>
            </w:rPr>
            <w:fldChar w:fldCharType="end"/>
          </w:r>
          <w:r>
            <w:rPr>
              <w:rFonts w:hint="eastAsia" w:ascii="黑体" w:hAnsi="黑体" w:eastAsia="黑体" w:cs="黑体"/>
              <w:szCs w:val="28"/>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highlight w:val="none"/>
              <w:lang w:val="en-US" w:eastAsia="zh-CN"/>
            </w:rPr>
            <w:sectPr>
              <w:pgSz w:w="11906" w:h="16838"/>
              <w:pgMar w:top="1588" w:right="1418" w:bottom="1588" w:left="1418" w:header="851" w:footer="992" w:gutter="0"/>
              <w:cols w:space="425" w:num="1"/>
              <w:docGrid w:type="lines" w:linePitch="312" w:charSpace="0"/>
            </w:sectPr>
          </w:pPr>
          <w:r>
            <w:rPr>
              <w:rFonts w:hint="eastAsia" w:ascii="黑体" w:hAnsi="黑体" w:eastAsia="黑体" w:cs="黑体"/>
              <w:szCs w:val="28"/>
              <w:highlight w:val="none"/>
              <w:lang w:val="en-US" w:eastAsia="zh-CN"/>
            </w:rPr>
            <w:fldChar w:fldCharType="end"/>
          </w:r>
        </w:p>
      </w:sdtContent>
    </w:sdt>
    <w:p>
      <w:pPr>
        <w:spacing w:line="480" w:lineRule="auto"/>
        <w:jc w:val="center"/>
        <w:outlineLvl w:val="0"/>
        <w:rPr>
          <w:rFonts w:hint="eastAsia" w:ascii="黑体" w:hAnsi="黑体" w:eastAsia="黑体" w:cs="黑体"/>
          <w:sz w:val="32"/>
          <w:szCs w:val="32"/>
          <w:highlight w:val="none"/>
          <w:lang w:val="en-US" w:eastAsia="zh-CN"/>
        </w:rPr>
      </w:pPr>
      <w:bookmarkStart w:id="0" w:name="_Toc18260"/>
      <w:r>
        <w:rPr>
          <w:rFonts w:hint="eastAsia" w:ascii="黑体" w:hAnsi="黑体" w:eastAsia="黑体" w:cs="黑体"/>
          <w:sz w:val="30"/>
          <w:szCs w:val="30"/>
          <w:highlight w:val="none"/>
          <w:lang w:val="en-US" w:eastAsia="zh-CN"/>
        </w:rPr>
        <w:t>前    言</w:t>
      </w:r>
      <w:bookmarkEnd w:id="0"/>
    </w:p>
    <w:p>
      <w:pPr>
        <w:spacing w:line="360" w:lineRule="auto"/>
        <w:ind w:firstLine="480" w:firstLineChars="200"/>
        <w:jc w:val="both"/>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Hans"/>
        </w:rPr>
        <w:t>新时期帮扶工作具有重要意义</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习近平</w:t>
      </w:r>
      <w:r>
        <w:rPr>
          <w:rFonts w:hint="eastAsia" w:ascii="宋体" w:hAnsi="宋体" w:eastAsia="宋体" w:cs="宋体"/>
          <w:sz w:val="24"/>
          <w:szCs w:val="24"/>
          <w:highlight w:val="none"/>
          <w:lang w:val="en-US" w:eastAsia="zh-CN"/>
        </w:rPr>
        <w:t>总书记在</w:t>
      </w:r>
      <w:r>
        <w:rPr>
          <w:rFonts w:hint="eastAsia" w:ascii="宋体" w:hAnsi="宋体" w:eastAsia="宋体" w:cs="宋体"/>
          <w:sz w:val="24"/>
          <w:szCs w:val="24"/>
          <w:highlight w:val="none"/>
          <w:lang w:eastAsia="zh-CN"/>
        </w:rPr>
        <w:t>2021</w:t>
      </w:r>
      <w:r>
        <w:rPr>
          <w:rFonts w:hint="eastAsia" w:ascii="宋体" w:hAnsi="宋体" w:eastAsia="宋体" w:cs="宋体"/>
          <w:sz w:val="24"/>
          <w:szCs w:val="24"/>
          <w:highlight w:val="none"/>
          <w:lang w:val="en-US" w:eastAsia="zh-Hans"/>
        </w:rPr>
        <w:t>年指出，</w:t>
      </w:r>
      <w:r>
        <w:rPr>
          <w:rFonts w:hint="eastAsia" w:ascii="宋体" w:hAnsi="宋体" w:eastAsia="宋体" w:cs="宋体"/>
          <w:sz w:val="24"/>
          <w:szCs w:val="24"/>
          <w:highlight w:val="none"/>
          <w:lang w:val="en-US" w:eastAsia="zh-CN"/>
        </w:rPr>
        <w:t>“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spacing w:line="360" w:lineRule="auto"/>
        <w:ind w:firstLine="480" w:firstLineChars="200"/>
        <w:jc w:val="both"/>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新的时期</w:t>
      </w:r>
      <w:r>
        <w:rPr>
          <w:rFonts w:hint="eastAsia" w:ascii="宋体" w:hAnsi="宋体" w:eastAsia="宋体" w:cs="宋体"/>
          <w:sz w:val="24"/>
          <w:szCs w:val="24"/>
          <w:highlight w:val="none"/>
          <w:lang w:eastAsia="zh-Hans"/>
        </w:rPr>
        <w:t>帮扶</w:t>
      </w:r>
      <w:r>
        <w:rPr>
          <w:rFonts w:hint="eastAsia" w:ascii="宋体" w:hAnsi="宋体" w:eastAsia="宋体" w:cs="宋体"/>
          <w:sz w:val="24"/>
          <w:szCs w:val="24"/>
          <w:highlight w:val="none"/>
          <w:lang w:val="en-US" w:eastAsia="zh-Hans"/>
        </w:rPr>
        <w:t>工作也有了新的变化，开始由集中资源支持脱贫攻坚向全面推进乡村振兴平稳过渡。2020年12月底，习近平总书记在中央农村工作会议上强调，脱贫攻坚取得胜利后，要全面推进乡村振兴，这是“三农”工作重心的历史性转移。要坚决守住脱贫攻坚成果，做好巩固拓展脱贫攻坚成果同乡村振兴有效衔接，工作不留空档，政策不留空白。2021年2月21日，中央一号文件《中共中央国务院关于全面推进乡村振兴加快农业农村现代化的意见》发布，提出实现巩固拓展脱贫攻坚成果同乡村振兴有效衔接，设立衔接过渡期、持续巩固拓展脱贫攻坚成果、接续推进脱贫地区乡村振兴、加强农村低收入人口常态化帮扶等要求。</w:t>
      </w:r>
    </w:p>
    <w:p>
      <w:pPr>
        <w:spacing w:line="360" w:lineRule="auto"/>
        <w:ind w:firstLine="480" w:firstLineChars="200"/>
        <w:jc w:val="both"/>
        <w:rPr>
          <w:rFonts w:hint="eastAsia" w:ascii="宋体" w:hAnsi="宋体" w:eastAsia="宋体" w:cs="宋体"/>
          <w:sz w:val="24"/>
          <w:szCs w:val="24"/>
          <w:highlight w:val="none"/>
          <w:lang w:val="en-US" w:eastAsia="zh-Hans"/>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24"/>
          <w:szCs w:val="24"/>
          <w:highlight w:val="none"/>
          <w:lang w:eastAsia="zh-Hans"/>
        </w:rPr>
        <w:t>乡村振兴</w:t>
      </w:r>
      <w:r>
        <w:rPr>
          <w:rFonts w:hint="eastAsia" w:ascii="宋体" w:hAnsi="宋体" w:eastAsia="宋体" w:cs="宋体"/>
          <w:sz w:val="24"/>
          <w:szCs w:val="24"/>
          <w:highlight w:val="none"/>
          <w:lang w:val="en-US" w:eastAsia="zh-Hans"/>
        </w:rPr>
        <w:t>对加强社会安定团结，加速社会主义建设，正确处理民族关系，发扬革命传统，巩固国防都有重要的作用。</w:t>
      </w:r>
      <w:r>
        <w:rPr>
          <w:rFonts w:hint="eastAsia" w:ascii="宋体" w:hAnsi="宋体" w:eastAsia="宋体" w:cs="宋体"/>
          <w:sz w:val="24"/>
          <w:szCs w:val="24"/>
          <w:highlight w:val="none"/>
          <w:lang w:eastAsia="zh-Hans"/>
        </w:rPr>
        <w:t>乡村振兴</w:t>
      </w:r>
      <w:r>
        <w:rPr>
          <w:rFonts w:hint="eastAsia" w:ascii="宋体" w:hAnsi="宋体" w:eastAsia="宋体" w:cs="宋体"/>
          <w:sz w:val="24"/>
          <w:szCs w:val="24"/>
          <w:highlight w:val="none"/>
          <w:lang w:val="en-US" w:eastAsia="zh-Hans"/>
        </w:rPr>
        <w:t>在构</w:t>
      </w:r>
      <w:r>
        <w:rPr>
          <w:rFonts w:hint="eastAsia" w:ascii="宋体" w:hAnsi="宋体" w:eastAsia="宋体" w:cs="宋体"/>
          <w:sz w:val="24"/>
          <w:szCs w:val="24"/>
          <w:highlight w:val="none"/>
          <w:lang w:val="en-US" w:eastAsia="zh-CN"/>
        </w:rPr>
        <w:t>建</w:t>
      </w:r>
      <w:r>
        <w:rPr>
          <w:rFonts w:hint="eastAsia" w:ascii="宋体" w:hAnsi="宋体" w:eastAsia="宋体" w:cs="宋体"/>
          <w:sz w:val="24"/>
          <w:szCs w:val="24"/>
          <w:highlight w:val="none"/>
          <w:lang w:val="en-US" w:eastAsia="zh-Hans"/>
        </w:rPr>
        <w:t>和谐社会，增进城乡居民亲情等方面的作用和意义更为突出。许多</w:t>
      </w:r>
      <w:r>
        <w:rPr>
          <w:rFonts w:hint="default" w:ascii="宋体" w:hAnsi="宋体" w:eastAsia="宋体" w:cs="宋体"/>
          <w:sz w:val="24"/>
          <w:szCs w:val="24"/>
          <w:highlight w:val="none"/>
          <w:lang w:eastAsia="zh-Hans"/>
        </w:rPr>
        <w:t>国家级脱贫县</w:t>
      </w:r>
      <w:r>
        <w:rPr>
          <w:rFonts w:hint="eastAsia" w:ascii="宋体" w:hAnsi="宋体" w:eastAsia="宋体" w:cs="宋体"/>
          <w:sz w:val="24"/>
          <w:szCs w:val="24"/>
          <w:highlight w:val="none"/>
          <w:lang w:val="en-US" w:eastAsia="zh-Hans"/>
        </w:rPr>
        <w:t>的地下矿产资源和地表生物资源都比较丰富，有些还是国家经济建设重要的急需的资源，有计划地开发这些地方的经济，可以带动社区的发展；从全国整体考虑，开发这些地区可为将来国家经济建设战略重点转移，有计划地大规模地建设大西北、大西南打下基础。</w:t>
      </w: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0"/>
        <w:rPr>
          <w:rFonts w:hint="default" w:ascii="黑体" w:hAnsi="黑体" w:eastAsia="黑体" w:cs="黑体"/>
          <w:b w:val="0"/>
          <w:bCs w:val="0"/>
          <w:kern w:val="44"/>
          <w:sz w:val="30"/>
          <w:szCs w:val="30"/>
          <w:highlight w:val="none"/>
          <w:lang w:val="en-US" w:eastAsia="zh-CN" w:bidi="ar-SA"/>
        </w:rPr>
        <w:sectPr>
          <w:pgSz w:w="11906" w:h="16838"/>
          <w:pgMar w:top="1440" w:right="1800" w:bottom="1440" w:left="1800" w:header="851" w:footer="992" w:gutter="0"/>
          <w:cols w:space="425" w:num="1"/>
          <w:docGrid w:type="lines" w:linePitch="312" w:charSpace="0"/>
        </w:sectPr>
      </w:pPr>
      <w:bookmarkStart w:id="1" w:name="_Toc24159"/>
      <w:r>
        <w:rPr>
          <w:rFonts w:hint="eastAsia" w:ascii="黑体" w:hAnsi="黑体" w:eastAsia="黑体" w:cs="黑体"/>
          <w:b w:val="0"/>
          <w:bCs w:val="0"/>
          <w:kern w:val="44"/>
          <w:sz w:val="30"/>
          <w:szCs w:val="30"/>
          <w:highlight w:val="none"/>
          <w:lang w:val="en-US" w:eastAsia="zh-Hans" w:bidi="ar-SA"/>
        </w:rPr>
        <w:t>第一章</w:t>
      </w:r>
      <w:r>
        <w:rPr>
          <w:rFonts w:hint="default" w:ascii="黑体" w:hAnsi="黑体" w:eastAsia="黑体" w:cs="黑体"/>
          <w:b w:val="0"/>
          <w:bCs w:val="0"/>
          <w:kern w:val="44"/>
          <w:sz w:val="30"/>
          <w:szCs w:val="30"/>
          <w:highlight w:val="none"/>
          <w:lang w:eastAsia="zh-Hans" w:bidi="ar-SA"/>
        </w:rPr>
        <w:t xml:space="preserve"> </w:t>
      </w:r>
      <w:r>
        <w:rPr>
          <w:rFonts w:hint="eastAsia" w:ascii="黑体" w:hAnsi="黑体" w:eastAsia="黑体" w:cs="黑体"/>
          <w:b w:val="0"/>
          <w:bCs w:val="0"/>
          <w:kern w:val="44"/>
          <w:sz w:val="30"/>
          <w:szCs w:val="30"/>
          <w:highlight w:val="none"/>
          <w:lang w:val="en-US" w:eastAsia="zh-CN" w:bidi="ar-SA"/>
        </w:rPr>
        <w:t>背景及意义</w:t>
      </w:r>
      <w:bookmarkEnd w:id="1"/>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作为负责任的企业公民、重视履行社会责任的证券公司，天风证券深入开展金融</w:t>
      </w:r>
      <w:r>
        <w:rPr>
          <w:rFonts w:hint="eastAsia"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积极落实证券行业“一司一县”“一县一企”等倡议，与湖北省十堰市房县、四川省广元市苍溪县、新疆维吾尔自治区哈密市巴里坤哈萨克自治县、湖北省神农架林区、湖北省恩施土家族苗族自治州利川市、宁夏回族自治区吴忠市盐池县、吉林省延边朝鲜族自治州汪清县、广西壮族自治区百色市田东县等</w:t>
      </w: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lang w:val="en-US" w:eastAsia="zh-CN"/>
        </w:rPr>
        <w:t>个国家级</w:t>
      </w:r>
      <w:r>
        <w:rPr>
          <w:rFonts w:hint="eastAsia"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，以及</w:t>
      </w:r>
      <w:r>
        <w:rPr>
          <w:rFonts w:hint="eastAsia" w:ascii="宋体" w:hAnsi="宋体" w:eastAsia="宋体" w:cs="宋体"/>
          <w:sz w:val="24"/>
          <w:szCs w:val="24"/>
          <w:highlight w:val="none"/>
          <w:lang w:eastAsia="zh-CN"/>
        </w:rPr>
        <w:t>54</w:t>
      </w:r>
      <w:r>
        <w:rPr>
          <w:rFonts w:hint="eastAsia" w:ascii="宋体" w:hAnsi="宋体" w:eastAsia="宋体" w:cs="宋体"/>
          <w:sz w:val="24"/>
          <w:szCs w:val="24"/>
          <w:highlight w:val="none"/>
          <w:lang w:val="en-US" w:eastAsia="zh-CN"/>
        </w:rPr>
        <w:t>个国家级</w:t>
      </w:r>
      <w:r>
        <w:rPr>
          <w:rFonts w:hint="eastAsia"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企业开展结对帮扶合作，并在凉山彝族自治州、甘孜藏族自治州、阿坝藏族羌族自治州等“三区三州”</w:t>
      </w:r>
      <w:r>
        <w:rPr>
          <w:rFonts w:hint="eastAsia" w:ascii="宋体" w:hAnsi="宋体" w:eastAsia="宋体" w:cs="宋体"/>
          <w:sz w:val="24"/>
          <w:szCs w:val="24"/>
          <w:highlight w:val="none"/>
          <w:lang w:val="en-US" w:eastAsia="zh-Hans"/>
        </w:rPr>
        <w:t>国家级脱贫县</w:t>
      </w:r>
      <w:r>
        <w:rPr>
          <w:rFonts w:hint="eastAsia" w:ascii="宋体" w:hAnsi="宋体" w:eastAsia="宋体" w:cs="宋体"/>
          <w:sz w:val="24"/>
          <w:szCs w:val="24"/>
          <w:highlight w:val="none"/>
          <w:lang w:val="en-US" w:eastAsia="zh-CN"/>
        </w:rPr>
        <w:t>开展</w:t>
      </w:r>
      <w:r>
        <w:rPr>
          <w:rFonts w:hint="eastAsia"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行动，为</w:t>
      </w:r>
      <w:r>
        <w:rPr>
          <w:rFonts w:hint="eastAsia" w:ascii="宋体" w:hAnsi="宋体" w:eastAsia="宋体" w:cs="宋体"/>
          <w:sz w:val="24"/>
          <w:szCs w:val="24"/>
          <w:highlight w:val="none"/>
          <w:lang w:val="en-US" w:eastAsia="zh-Hans"/>
        </w:rPr>
        <w:t>乡村振兴</w:t>
      </w:r>
      <w:r>
        <w:rPr>
          <w:rFonts w:hint="eastAsia" w:ascii="宋体" w:hAnsi="宋体" w:eastAsia="宋体" w:cs="宋体"/>
          <w:sz w:val="24"/>
          <w:szCs w:val="24"/>
          <w:highlight w:val="none"/>
          <w:lang w:val="en-US" w:eastAsia="zh-CN"/>
        </w:rPr>
        <w:t>贡献力量。截至目前，累计帮助</w:t>
      </w:r>
      <w:r>
        <w:rPr>
          <w:rFonts w:hint="eastAsia" w:ascii="宋体" w:hAnsi="宋体" w:eastAsia="宋体" w:cs="宋体"/>
          <w:sz w:val="24"/>
          <w:szCs w:val="24"/>
          <w:highlight w:val="none"/>
          <w:lang w:val="en-US" w:eastAsia="zh-Hans"/>
        </w:rPr>
        <w:t>国家级脱贫县</w:t>
      </w:r>
      <w:r>
        <w:rPr>
          <w:rFonts w:hint="eastAsia" w:ascii="宋体" w:hAnsi="宋体" w:eastAsia="宋体" w:cs="宋体"/>
          <w:sz w:val="24"/>
          <w:szCs w:val="24"/>
          <w:highlight w:val="none"/>
          <w:lang w:val="en-US" w:eastAsia="zh-CN"/>
        </w:rPr>
        <w:t>融资120.0亿元，帮扶数量及融资总额均位列证券行业最前列。</w:t>
      </w:r>
    </w:p>
    <w:p>
      <w:pPr>
        <w:spacing w:line="360" w:lineRule="auto"/>
        <w:ind w:firstLine="480" w:firstLineChars="200"/>
        <w:jc w:val="both"/>
        <w:rPr>
          <w:rFonts w:hint="eastAsia" w:ascii="宋体" w:hAnsi="宋体" w:eastAsia="宋体" w:cs="宋体"/>
          <w:sz w:val="24"/>
          <w:szCs w:val="24"/>
          <w:highlight w:val="none"/>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highlight w:val="none"/>
          <w:lang w:val="en-US" w:eastAsia="zh-CN"/>
        </w:rPr>
        <w:t>公司于2016年成立精准</w:t>
      </w:r>
      <w:r>
        <w:rPr>
          <w:rFonts w:hint="eastAsia"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工作领导小组，并于2021年调整成为天风证券推进乡村振兴工作领导小组，党委书记、董事长余磊同志任组长经过多年探索，形成了以资源整合为发力点，率先提出“四位一体”的立体化造血式金融精准</w:t>
      </w:r>
      <w:r>
        <w:rPr>
          <w:rFonts w:hint="eastAsia"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方略，围绕产业帮扶、智力提升、消费助力、公益助学、战疫防返、理论研究等方面，探索形成天风证券乡村振兴“六新”模式。下面将详细阐述本次由鞠彬彬</w:t>
      </w:r>
      <w:r>
        <w:rPr>
          <w:rStyle w:val="10"/>
          <w:rFonts w:hint="eastAsia" w:ascii="宋体" w:hAnsi="宋体" w:eastAsia="宋体" w:cs="宋体"/>
          <w:sz w:val="24"/>
          <w:szCs w:val="24"/>
          <w:highlight w:val="none"/>
          <w:lang w:val="en-US" w:eastAsia="zh-CN"/>
        </w:rPr>
        <w:footnoteReference w:id="0"/>
      </w:r>
      <w:r>
        <w:rPr>
          <w:rFonts w:hint="eastAsia" w:ascii="宋体" w:hAnsi="宋体" w:eastAsia="宋体" w:cs="宋体"/>
          <w:sz w:val="24"/>
          <w:szCs w:val="24"/>
          <w:highlight w:val="none"/>
          <w:lang w:val="en-US" w:eastAsia="zh-CN"/>
        </w:rPr>
        <w:t>率领的调研小组结合调研及公司乡村振兴战略在精准</w:t>
      </w:r>
      <w:r>
        <w:rPr>
          <w:rFonts w:hint="eastAsia"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中的经验和方法。</w:t>
      </w: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eastAsia"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2" w:name="_Toc30823"/>
      <w:r>
        <w:rPr>
          <w:rFonts w:hint="default" w:ascii="黑体" w:hAnsi="黑体" w:eastAsia="黑体" w:cs="黑体"/>
          <w:b w:val="0"/>
          <w:bCs w:val="0"/>
          <w:kern w:val="44"/>
          <w:sz w:val="28"/>
          <w:szCs w:val="28"/>
          <w:highlight w:val="none"/>
          <w:lang w:eastAsia="zh-CN" w:bidi="ar-SA"/>
        </w:rPr>
        <w:t>1</w:t>
      </w:r>
      <w:r>
        <w:rPr>
          <w:rFonts w:hint="eastAsia" w:ascii="黑体" w:hAnsi="黑体" w:eastAsia="黑体" w:cs="黑体"/>
          <w:b w:val="0"/>
          <w:bCs w:val="0"/>
          <w:kern w:val="44"/>
          <w:sz w:val="28"/>
          <w:szCs w:val="28"/>
          <w:highlight w:val="none"/>
          <w:lang w:val="en-US" w:eastAsia="zh-Hans" w:bidi="ar-SA"/>
        </w:rPr>
        <w:t>.</w:t>
      </w:r>
      <w:r>
        <w:rPr>
          <w:rFonts w:hint="default" w:ascii="黑体" w:hAnsi="黑体" w:eastAsia="黑体" w:cs="黑体"/>
          <w:b w:val="0"/>
          <w:bCs w:val="0"/>
          <w:kern w:val="44"/>
          <w:sz w:val="28"/>
          <w:szCs w:val="28"/>
          <w:highlight w:val="none"/>
          <w:lang w:eastAsia="zh-Hans" w:bidi="ar-SA"/>
        </w:rPr>
        <w:t>1</w:t>
      </w:r>
      <w:r>
        <w:rPr>
          <w:rFonts w:hint="eastAsia" w:ascii="黑体" w:hAnsi="黑体" w:eastAsia="黑体" w:cs="黑体"/>
          <w:b w:val="0"/>
          <w:bCs w:val="0"/>
          <w:kern w:val="44"/>
          <w:sz w:val="28"/>
          <w:szCs w:val="28"/>
          <w:highlight w:val="none"/>
          <w:lang w:val="en-US" w:eastAsia="zh-CN" w:bidi="ar-SA"/>
        </w:rPr>
        <w:t>以资源整合为发力点，明确券商在</w:t>
      </w:r>
      <w:r>
        <w:rPr>
          <w:rFonts w:hint="default" w:ascii="黑体" w:hAnsi="黑体" w:eastAsia="黑体" w:cs="黑体"/>
          <w:b w:val="0"/>
          <w:bCs w:val="0"/>
          <w:kern w:val="44"/>
          <w:sz w:val="28"/>
          <w:szCs w:val="28"/>
          <w:highlight w:val="none"/>
          <w:lang w:eastAsia="zh-CN" w:bidi="ar-SA"/>
        </w:rPr>
        <w:t>帮扶</w:t>
      </w:r>
      <w:r>
        <w:rPr>
          <w:rFonts w:hint="eastAsia" w:ascii="黑体" w:hAnsi="黑体" w:eastAsia="黑体" w:cs="黑体"/>
          <w:b w:val="0"/>
          <w:bCs w:val="0"/>
          <w:kern w:val="44"/>
          <w:sz w:val="28"/>
          <w:szCs w:val="28"/>
          <w:highlight w:val="none"/>
          <w:lang w:val="en-US" w:eastAsia="zh-CN" w:bidi="ar-SA"/>
        </w:rPr>
        <w:t>中的角色和作用</w:t>
      </w:r>
      <w:bookmarkEnd w:id="2"/>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我们认为，证券公司作为资本市场的中介机构，其优势在于他在政策资源、资金资源、产业资源、信息资源等重要资源的取得上有关键优势，能够很好地弥补</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在资源获得上先天不足的劣势。因此，我们以资源整合为发力点，结合</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实际的金融、产业、财政、人文等实际信息，通过对接和调研，公司各业务条线根据自身所掌握的资源提供合理的建议，将政策优势、金融优势、资源优势和信息优势相互叠加，最大程度地发挥自身优势。</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例如，公司的投行团队、新三板团队对资本市场政策非常了解，可针对拥有独特自然优势和产业优势的企业通过IPO</w:t>
      </w:r>
      <w:r>
        <w:rPr>
          <w:rStyle w:val="10"/>
          <w:rFonts w:hint="eastAsia" w:ascii="宋体" w:hAnsi="宋体" w:eastAsia="宋体" w:cs="宋体"/>
          <w:sz w:val="24"/>
          <w:szCs w:val="24"/>
          <w:highlight w:val="none"/>
          <w:lang w:val="en-US" w:eastAsia="zh-CN"/>
        </w:rPr>
        <w:footnoteReference w:id="1"/>
      </w:r>
      <w:r>
        <w:rPr>
          <w:rFonts w:hint="eastAsia" w:ascii="宋体" w:hAnsi="宋体" w:eastAsia="宋体" w:cs="宋体"/>
          <w:sz w:val="24"/>
          <w:szCs w:val="24"/>
          <w:highlight w:val="none"/>
          <w:lang w:val="en-US" w:eastAsia="zh-CN"/>
        </w:rPr>
        <w:t>“绿色通道”发行上市或辅导挂牌新三板；债券承做团队可发挥债券特性和作用，利用资金渠道优势拓宽</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资金来源、资管团队利用专业资源发行资产支持专项计划支持</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产业发展；研究所掌握较多的产业资源，可针对</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的资源禀赋情况提供相应产业对接，真正做到精准帮扶；公司的期货子公司能够利用信息优势实现市场价格发现和对冲风险机制，完善传统的再保机制，保障农户收入。</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另外，公司的资源整合还体现在人力资源优势上，天风证券员工偏年轻化，是朝气蓬勃、阳光向上的80后、90后甚至95后的年轻群体，且学历较高，可以在</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时同扶志、扶智相结合，让脱贫具有可持续的内生动力。资本市场教育培训、投资者教育和保护活动、产业技术培训等方面都能有一番作为。</w:t>
      </w:r>
    </w:p>
    <w:p>
      <w:pPr>
        <w:spacing w:line="360" w:lineRule="auto"/>
        <w:ind w:firstLine="480" w:firstLineChars="200"/>
        <w:jc w:val="both"/>
        <w:rPr>
          <w:rFonts w:hint="eastAsia" w:ascii="宋体" w:hAnsi="宋体" w:eastAsia="宋体" w:cs="宋体"/>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highlight w:val="none"/>
          <w:lang w:val="en-US" w:eastAsia="zh-CN"/>
        </w:rPr>
        <w:t>总之，天风证券充分认识到自身在资本市场上的中介作用对于</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的重要意义，在</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时做到以资源整合为发力点，利用自身的政策资源、资金资源、产业资源、信息资源、人力资源等优势，完成结对帮扶的各个</w:t>
      </w:r>
      <w:r>
        <w:rPr>
          <w:rFonts w:hint="default"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的乡村振兴工作。</w:t>
      </w: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0"/>
        <w:rPr>
          <w:rFonts w:hint="default" w:ascii="黑体" w:hAnsi="黑体" w:eastAsia="黑体" w:cs="黑体"/>
          <w:b w:val="0"/>
          <w:bCs w:val="0"/>
          <w:kern w:val="44"/>
          <w:sz w:val="30"/>
          <w:szCs w:val="30"/>
          <w:highlight w:val="none"/>
          <w:lang w:val="en-US" w:eastAsia="zh-CN" w:bidi="ar-SA"/>
        </w:rPr>
        <w:sectPr>
          <w:pgSz w:w="11906" w:h="16838"/>
          <w:pgMar w:top="1440" w:right="1800" w:bottom="1440" w:left="1800" w:header="851" w:footer="992" w:gutter="0"/>
          <w:cols w:space="425" w:num="1"/>
          <w:docGrid w:type="lines" w:linePitch="312" w:charSpace="0"/>
        </w:sectPr>
      </w:pPr>
      <w:bookmarkStart w:id="3" w:name="_Toc28871"/>
      <w:r>
        <w:rPr>
          <w:rFonts w:hint="eastAsia" w:ascii="黑体" w:hAnsi="黑体" w:eastAsia="黑体" w:cs="黑体"/>
          <w:b w:val="0"/>
          <w:bCs w:val="0"/>
          <w:kern w:val="44"/>
          <w:sz w:val="30"/>
          <w:szCs w:val="30"/>
          <w:highlight w:val="none"/>
          <w:lang w:val="en-US" w:eastAsia="zh-Hans" w:bidi="ar-SA"/>
        </w:rPr>
        <w:t>第</w:t>
      </w:r>
      <w:r>
        <w:rPr>
          <w:rFonts w:hint="eastAsia" w:ascii="黑体" w:hAnsi="黑体" w:eastAsia="黑体" w:cs="黑体"/>
          <w:b w:val="0"/>
          <w:bCs w:val="0"/>
          <w:kern w:val="44"/>
          <w:sz w:val="30"/>
          <w:szCs w:val="30"/>
          <w:highlight w:val="none"/>
          <w:lang w:val="en-US" w:eastAsia="zh-CN" w:bidi="ar-SA"/>
        </w:rPr>
        <w:t>二</w:t>
      </w:r>
      <w:r>
        <w:rPr>
          <w:rFonts w:hint="eastAsia" w:ascii="黑体" w:hAnsi="黑体" w:eastAsia="黑体" w:cs="黑体"/>
          <w:b w:val="0"/>
          <w:bCs w:val="0"/>
          <w:kern w:val="44"/>
          <w:sz w:val="30"/>
          <w:szCs w:val="30"/>
          <w:highlight w:val="none"/>
          <w:lang w:val="en-US" w:eastAsia="zh-Hans" w:bidi="ar-SA"/>
        </w:rPr>
        <w:t>章</w:t>
      </w:r>
      <w:r>
        <w:rPr>
          <w:rFonts w:hint="default" w:ascii="黑体" w:hAnsi="黑体" w:eastAsia="黑体" w:cs="黑体"/>
          <w:b w:val="0"/>
          <w:bCs w:val="0"/>
          <w:kern w:val="44"/>
          <w:sz w:val="30"/>
          <w:szCs w:val="30"/>
          <w:highlight w:val="none"/>
          <w:lang w:eastAsia="zh-Hans" w:bidi="ar-SA"/>
        </w:rPr>
        <w:t xml:space="preserve"> </w:t>
      </w:r>
      <w:r>
        <w:rPr>
          <w:rFonts w:hint="eastAsia" w:ascii="黑体" w:hAnsi="黑体" w:eastAsia="黑体" w:cs="黑体"/>
          <w:b w:val="0"/>
          <w:bCs w:val="0"/>
          <w:kern w:val="44"/>
          <w:sz w:val="30"/>
          <w:szCs w:val="30"/>
          <w:highlight w:val="none"/>
          <w:lang w:val="en-US" w:eastAsia="zh-CN" w:bidi="ar-SA"/>
        </w:rPr>
        <w:t>助力乡村振兴举措</w:t>
      </w:r>
      <w:bookmarkEnd w:id="3"/>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eastAsia"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4" w:name="_Toc18545"/>
      <w:r>
        <w:rPr>
          <w:rFonts w:hint="eastAsia" w:ascii="黑体" w:hAnsi="黑体" w:eastAsia="黑体" w:cs="黑体"/>
          <w:b w:val="0"/>
          <w:bCs w:val="0"/>
          <w:kern w:val="44"/>
          <w:sz w:val="28"/>
          <w:szCs w:val="28"/>
          <w:highlight w:val="none"/>
          <w:lang w:val="en-US" w:eastAsia="zh-CN" w:bidi="ar-SA"/>
        </w:rPr>
        <w:t>2.1</w:t>
      </w:r>
      <w:r>
        <w:rPr>
          <w:rFonts w:hint="default" w:ascii="黑体" w:hAnsi="黑体" w:eastAsia="黑体" w:cs="黑体"/>
          <w:b w:val="0"/>
          <w:bCs w:val="0"/>
          <w:kern w:val="44"/>
          <w:sz w:val="28"/>
          <w:szCs w:val="28"/>
          <w:highlight w:val="none"/>
          <w:lang w:eastAsia="zh-Hans" w:bidi="ar-SA"/>
        </w:rPr>
        <w:t>产业帮扶：对接资本市场，助力产业发展</w:t>
      </w:r>
      <w:bookmarkEnd w:id="4"/>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在产业</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方面，天风证券深入</w:t>
      </w:r>
      <w:r>
        <w:rPr>
          <w:rFonts w:hint="default"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为政府提供科学的产业发展规划。以利川为例，自建市以来，己逐步形成烟叶、米业、蔬菜、畜牧、茶叶、药材、林果七大特色农业产业，其中尤以烟叶、硒茶、莼菜、黄连、山药最为闻名。优势产业对利川来讲是一笔宝贵财富，但整体开发程度不高，企业的规范化程度相对较低。天风证券从利川特色产业和生态旅游入手，邀请</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专家、金融专家、农业专家等深入</w:t>
      </w:r>
      <w:r>
        <w:rPr>
          <w:rFonts w:hint="default"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，走进当地企业，为他们“建档立卡”，提出针对性帮扶方案。本着集中力量，做大做强利川优势产业和龙头企业，通过产业发展带动</w:t>
      </w:r>
      <w:r>
        <w:rPr>
          <w:rFonts w:hint="eastAsia" w:ascii="宋体" w:hAnsi="宋体" w:eastAsia="宋体" w:cs="宋体"/>
          <w:sz w:val="24"/>
          <w:szCs w:val="24"/>
          <w:highlight w:val="none"/>
          <w:lang w:val="en-US" w:eastAsia="zh-Hans"/>
        </w:rPr>
        <w:t>困难人群</w:t>
      </w:r>
      <w:r>
        <w:rPr>
          <w:rFonts w:hint="eastAsia" w:ascii="宋体" w:hAnsi="宋体" w:eastAsia="宋体" w:cs="宋体"/>
          <w:sz w:val="24"/>
          <w:szCs w:val="24"/>
          <w:highlight w:val="none"/>
          <w:lang w:val="en-US" w:eastAsia="zh-CN"/>
        </w:rPr>
        <w:t>脱贫致富的帮扶策略，调研小组先后走访飞强茶业、清江黄连、香莲药业、成庚药材等多家企业深入调研，项目组专家深入企业生产车间和种植基地，为企业发展把脉号诊。截至目前，天风证券已在利川市建立企业项目库，并已与土家牧业、飞强茶业等多家企业达成初步合作意向，还与利川飞强茶业签署“一县一企”结对帮扶合作协议。</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此外，天风证券与伙伴企业武大创投联动，以武大创投为渠道协助企业在武汉股权托管交易中心申请四板挂牌。截至目前，已完成利川市清江黄连开发有限责任公司、湖北金土源林药种业有限公司、湖北强羽电子科技有限公司、利川市丰恒药材科技有限公司4家企业的四板挂牌工作。以上合作企业均系利川当地特色产业的龙头企业代表，天风证券协助其对接资本市场、拓宽融资渠道，从而带动当地中药材加工、种业、电子产业发展，通过产业发展带动</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就业和农民增收。同时，天风证券通过发行证券产品，带动产业发展，发行立足恩施州的湖北文旅债等</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债券，以及国内首单信托助农资产证券化产品“天风-云信农分期一号资产支持专项计划”，创造性地将支农资金与农业生产场景深度融合，助力农民增收致富。</w:t>
      </w:r>
    </w:p>
    <w:p>
      <w:pPr>
        <w:spacing w:line="360" w:lineRule="auto"/>
        <w:ind w:firstLine="480" w:firstLineChars="200"/>
        <w:jc w:val="both"/>
        <w:rPr>
          <w:rFonts w:hint="eastAsia" w:ascii="仿宋_GB2312" w:hAnsi="仿宋_GB2312" w:eastAsia="仿宋_GB2312" w:cs="仿宋_GB2312"/>
          <w:sz w:val="24"/>
          <w:szCs w:val="24"/>
          <w:highlight w:val="none"/>
        </w:rPr>
      </w:pPr>
      <w:r>
        <w:rPr>
          <w:rFonts w:hint="eastAsia" w:ascii="宋体" w:hAnsi="宋体" w:eastAsia="宋体" w:cs="宋体"/>
          <w:sz w:val="24"/>
          <w:szCs w:val="24"/>
          <w:highlight w:val="none"/>
          <w:lang w:val="en-US" w:eastAsia="zh-CN"/>
        </w:rPr>
        <w:t>截至目前，通过在三十余个脱贫县设立的产业帮扶项目，天风证券打造针对性的创新金融帮扶产品，帮助融资达120.0亿元，中国五星乡村振兴债券债券“凤凰债券”帮助湖南凤凰县发展全域旅游产业，国内首单信托助农资产证券化产品“天风-云信农分期一号”助力农民增收致富，以及古蔺债券、大悟债券、阳新债券、岑巩债券、龙凤山新三板定增、甘孜州康定金鑫矿业挂牌新三板等项目，切实帮助脱贫县打通融资渠道。此外，天风证券率先开展“银券乡村振兴合作”，2021年5月，与“服务乡村振兴的银行”——桂林银行签署战略合作协议，积极协助桂林银行启动上市、防范金融风险等工作。</w:t>
      </w:r>
    </w:p>
    <w:p>
      <w:pPr>
        <w:rPr>
          <w:rFonts w:hint="eastAsia" w:ascii="仿宋" w:hAnsi="仿宋" w:eastAsia="仿宋"/>
          <w:szCs w:val="32"/>
          <w:highlight w:val="none"/>
          <w:lang w:val="en-US" w:eastAsia="zh-CN"/>
        </w:rPr>
        <w:sectPr>
          <w:pgSz w:w="11906" w:h="16838"/>
          <w:pgMar w:top="1440" w:right="1800" w:bottom="1440" w:left="1800" w:header="851" w:footer="992" w:gutter="0"/>
          <w:cols w:space="425" w:num="1"/>
          <w:docGrid w:type="lines" w:linePitch="312" w:charSpace="0"/>
        </w:sect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eastAsia"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5" w:name="_Toc645"/>
      <w:r>
        <w:rPr>
          <w:rFonts w:hint="eastAsia" w:ascii="黑体" w:hAnsi="黑体" w:eastAsia="黑体" w:cs="黑体"/>
          <w:b w:val="0"/>
          <w:bCs w:val="0"/>
          <w:kern w:val="44"/>
          <w:sz w:val="28"/>
          <w:szCs w:val="28"/>
          <w:highlight w:val="none"/>
          <w:lang w:val="en-US" w:eastAsia="zh-CN" w:bidi="ar-SA"/>
        </w:rPr>
        <w:t>2.2</w:t>
      </w:r>
      <w:r>
        <w:rPr>
          <w:rFonts w:hint="default" w:ascii="黑体" w:hAnsi="黑体" w:eastAsia="黑体" w:cs="黑体"/>
          <w:b w:val="0"/>
          <w:bCs w:val="0"/>
          <w:kern w:val="44"/>
          <w:sz w:val="28"/>
          <w:szCs w:val="28"/>
          <w:highlight w:val="none"/>
          <w:lang w:eastAsia="zh-Hans" w:bidi="ar-SA"/>
        </w:rPr>
        <w:t>智慧帮扶：驻村扶智，引导县域融资新观念</w:t>
      </w:r>
      <w:bookmarkEnd w:id="5"/>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天风证券以转变</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的金融观念为抓手，打破“证券公司一般大多在发达地区与‘资本’打交道，很少与‘贫穷’打交道”的惯例，率先将证券营业部开在了</w:t>
      </w:r>
      <w:r>
        <w:rPr>
          <w:rFonts w:hint="default"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，作为金融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工作站全面推进智慧</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以利川为例，天风证券派驻多位金融专家为利川市政府及企业提供金融培训服务和业务协助，组建包含各条线</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业务人员的金融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智库，派出专项工作组参与由利川市政府牵头组织的金融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专项座谈会，与利川市金融办、银监办、招商局、产业办等单位及当地企业就利川中药材产业、茶叶产业等重点产业发展深入研究和交流。此外，天风证券开展投资者教育与保护活动，帮助</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培养金融人才、加强</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金融知识普及和金融风险教育，为</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带来现代金融理念。</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截至目前，天风证券派金融专家到</w:t>
      </w:r>
      <w:r>
        <w:rPr>
          <w:rFonts w:hint="default"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挂职、到企业驻点，在利川、房县、苍溪等脱贫县组织的资本市场专项培训场次80余场，涉及人次约2万余人；金融专家走访企业累计近500家；开展投资者教育与保护活动40余次、影响人数超20万人，帮助脱贫地区培养金融人才、加强脱贫地区金融知识普及和金融风险教育，为脱贫地区带来现代金融理念。其中，天风证券组织金融专家、</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专家并联合武大创投累计13次前往利川市，走访和考察实体企业需求，并针对性地开展资本市场业务专场培训，引导政府利用金融工具服务当地实体经济，引导企业学习和接受资本市场，为</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灌输现代金融理念。天风证券还在利川中小学、秭归中小学等地举办独具特色的“少儿财商课”活动，帮助</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孩子拓宽视野，提升心智。</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2021年6月，天风证券成为湖北省首个参与乡村振兴定点帮扶与驻村帮扶工作的非公企业，公司加大力度支持金融专家常年驻村挂职，全方位参与乡村振兴。</w:t>
      </w:r>
    </w:p>
    <w:p>
      <w:pPr>
        <w:spacing w:line="360" w:lineRule="auto"/>
        <w:ind w:firstLine="480" w:firstLineChars="200"/>
        <w:jc w:val="both"/>
        <w:rPr>
          <w:rFonts w:hint="default"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天风证券联合科研院所开展乡村振兴理论研究，科学推动县域发展。</w:t>
      </w:r>
      <w:r>
        <w:rPr>
          <w:rFonts w:hint="eastAsia" w:ascii="宋体" w:hAnsi="宋体" w:eastAsia="宋体" w:cs="宋体"/>
          <w:sz w:val="24"/>
          <w:szCs w:val="24"/>
          <w:highlight w:val="none"/>
          <w:lang w:val="en-US" w:eastAsia="zh-Hans"/>
        </w:rPr>
        <w:t>天风证券</w:t>
      </w:r>
      <w:r>
        <w:rPr>
          <w:rFonts w:hint="default" w:ascii="宋体" w:hAnsi="宋体" w:eastAsia="宋体" w:cs="宋体"/>
          <w:sz w:val="24"/>
          <w:szCs w:val="24"/>
          <w:highlight w:val="none"/>
          <w:lang w:val="en-US" w:eastAsia="zh-Hans"/>
        </w:rPr>
        <w:t>曾作为证券行业唯一开展</w:t>
      </w:r>
      <w:r>
        <w:rPr>
          <w:rFonts w:hint="default" w:ascii="宋体" w:hAnsi="宋体" w:eastAsia="宋体" w:cs="宋体"/>
          <w:sz w:val="24"/>
          <w:szCs w:val="24"/>
          <w:highlight w:val="none"/>
          <w:lang w:eastAsia="zh-Hans"/>
        </w:rPr>
        <w:t>帮扶</w:t>
      </w:r>
      <w:r>
        <w:rPr>
          <w:rFonts w:hint="default" w:ascii="宋体" w:hAnsi="宋体" w:eastAsia="宋体" w:cs="宋体"/>
          <w:sz w:val="24"/>
          <w:szCs w:val="24"/>
          <w:highlight w:val="none"/>
          <w:lang w:val="en-US" w:eastAsia="zh-Hans"/>
        </w:rPr>
        <w:t>绩效评价指标体系研究的单位，参与证券公司标准化</w:t>
      </w:r>
      <w:r>
        <w:rPr>
          <w:rFonts w:hint="default" w:ascii="宋体" w:hAnsi="宋体" w:eastAsia="宋体" w:cs="宋体"/>
          <w:sz w:val="24"/>
          <w:szCs w:val="24"/>
          <w:highlight w:val="none"/>
          <w:lang w:eastAsia="zh-Hans"/>
        </w:rPr>
        <w:t>帮扶</w:t>
      </w:r>
      <w:r>
        <w:rPr>
          <w:rFonts w:hint="default" w:ascii="宋体" w:hAnsi="宋体" w:eastAsia="宋体" w:cs="宋体"/>
          <w:sz w:val="24"/>
          <w:szCs w:val="24"/>
          <w:highlight w:val="none"/>
          <w:lang w:val="en-US" w:eastAsia="zh-Hans"/>
        </w:rPr>
        <w:t>研究工作。目前，公司正在联合武汉大学马克思主义学院、华中师范大学等学术科研机构，开展乡村振兴评价指标研究。2020年8月、11月、2021年6月、7月</w:t>
      </w:r>
      <w:r>
        <w:rPr>
          <w:rFonts w:hint="eastAsia" w:ascii="宋体" w:hAnsi="宋体" w:eastAsia="宋体" w:cs="宋体"/>
          <w:sz w:val="24"/>
          <w:szCs w:val="24"/>
          <w:highlight w:val="none"/>
          <w:lang w:val="en-US" w:eastAsia="zh-CN"/>
        </w:rPr>
        <w:t>、2022年1月、7月、8月</w:t>
      </w:r>
      <w:r>
        <w:rPr>
          <w:rFonts w:hint="default" w:ascii="宋体" w:hAnsi="宋体" w:eastAsia="宋体" w:cs="宋体"/>
          <w:sz w:val="24"/>
          <w:szCs w:val="24"/>
          <w:highlight w:val="none"/>
          <w:lang w:val="en-US" w:eastAsia="zh-Hans"/>
        </w:rPr>
        <w:t>，天风证券先后多次与武汉大学马克思主义学院、华中师范大学</w:t>
      </w:r>
      <w:r>
        <w:rPr>
          <w:rFonts w:hint="eastAsia" w:ascii="宋体" w:hAnsi="宋体" w:eastAsia="宋体" w:cs="宋体"/>
          <w:sz w:val="24"/>
          <w:szCs w:val="24"/>
          <w:highlight w:val="none"/>
          <w:lang w:val="en-US" w:eastAsia="zh-CN"/>
        </w:rPr>
        <w:t>、华中农业大学、武汉工程大学</w:t>
      </w:r>
      <w:r>
        <w:rPr>
          <w:rFonts w:hint="default" w:ascii="宋体" w:hAnsi="宋体" w:eastAsia="宋体" w:cs="宋体"/>
          <w:sz w:val="24"/>
          <w:szCs w:val="24"/>
          <w:highlight w:val="none"/>
          <w:lang w:val="en-US" w:eastAsia="zh-Hans"/>
        </w:rPr>
        <w:t>深入湖北省秭归县、房县</w:t>
      </w:r>
      <w:r>
        <w:rPr>
          <w:rFonts w:hint="eastAsia" w:ascii="宋体" w:hAnsi="宋体" w:eastAsia="宋体" w:cs="宋体"/>
          <w:sz w:val="24"/>
          <w:szCs w:val="24"/>
          <w:highlight w:val="none"/>
          <w:lang w:val="en-US" w:eastAsia="zh-CN"/>
        </w:rPr>
        <w:t>利川市</w:t>
      </w:r>
      <w:r>
        <w:rPr>
          <w:rFonts w:hint="default" w:ascii="宋体" w:hAnsi="宋体" w:eastAsia="宋体" w:cs="宋体"/>
          <w:sz w:val="24"/>
          <w:szCs w:val="24"/>
          <w:highlight w:val="none"/>
          <w:lang w:val="en-US" w:eastAsia="zh-Hans"/>
        </w:rPr>
        <w:t>开展乡村振兴调研。</w:t>
      </w:r>
      <w:r>
        <w:rPr>
          <w:rFonts w:hint="eastAsia" w:ascii="宋体" w:hAnsi="宋体" w:eastAsia="宋体" w:cs="宋体"/>
          <w:sz w:val="24"/>
          <w:szCs w:val="24"/>
          <w:highlight w:val="none"/>
          <w:lang w:val="en-US" w:eastAsia="zh-Hans"/>
        </w:rPr>
        <w:t>致力于</w:t>
      </w:r>
      <w:r>
        <w:rPr>
          <w:rFonts w:hint="default" w:ascii="宋体" w:hAnsi="宋体" w:eastAsia="宋体" w:cs="宋体"/>
          <w:sz w:val="24"/>
          <w:szCs w:val="24"/>
          <w:highlight w:val="none"/>
          <w:lang w:val="en-US" w:eastAsia="zh-Hans"/>
        </w:rPr>
        <w:t>为行业提供标准化乡村振兴建议，助力县域振兴发展。为当地制订乡村振兴整体规划建言献策，并开展金融助力乡村振兴专题研究。</w:t>
      </w:r>
    </w:p>
    <w:p>
      <w:pPr>
        <w:spacing w:line="360" w:lineRule="auto"/>
        <w:ind w:firstLine="480" w:firstLineChars="200"/>
        <w:jc w:val="both"/>
        <w:rPr>
          <w:rFonts w:hint="default" w:ascii="宋体" w:hAnsi="宋体" w:eastAsia="宋体" w:cs="宋体"/>
          <w:sz w:val="24"/>
          <w:szCs w:val="24"/>
          <w:highlight w:val="none"/>
          <w:lang w:val="en-US" w:eastAsia="zh-Hans"/>
        </w:rPr>
        <w:sectPr>
          <w:pgSz w:w="11906" w:h="16838"/>
          <w:pgMar w:top="1440" w:right="1800" w:bottom="1440" w:left="1800" w:header="851" w:footer="992" w:gutter="0"/>
          <w:cols w:space="425" w:num="1"/>
          <w:docGrid w:type="lines" w:linePitch="312" w:charSpace="0"/>
        </w:sect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eastAsia"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6" w:name="_Toc18116"/>
      <w:r>
        <w:rPr>
          <w:rFonts w:hint="eastAsia" w:ascii="黑体" w:hAnsi="黑体" w:eastAsia="黑体" w:cs="黑体"/>
          <w:b w:val="0"/>
          <w:bCs w:val="0"/>
          <w:kern w:val="44"/>
          <w:sz w:val="28"/>
          <w:szCs w:val="28"/>
          <w:highlight w:val="none"/>
          <w:lang w:val="en-US" w:eastAsia="zh-CN" w:bidi="ar-SA"/>
        </w:rPr>
        <w:t>2.3</w:t>
      </w:r>
      <w:r>
        <w:rPr>
          <w:rFonts w:hint="default" w:ascii="黑体" w:hAnsi="黑体" w:eastAsia="黑体" w:cs="黑体"/>
          <w:b w:val="0"/>
          <w:bCs w:val="0"/>
          <w:kern w:val="44"/>
          <w:sz w:val="28"/>
          <w:szCs w:val="28"/>
          <w:highlight w:val="none"/>
          <w:lang w:eastAsia="zh-Hans" w:bidi="ar-SA"/>
        </w:rPr>
        <w:t>消费帮扶：品牌化思维，为帮扶产品增值</w:t>
      </w:r>
      <w:bookmarkEnd w:id="6"/>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2021年3月22日至25日，习总书记在福建考察时的讲话</w:t>
      </w:r>
      <w:r>
        <w:rPr>
          <w:rFonts w:hint="eastAsia" w:ascii="宋体" w:hAnsi="宋体" w:eastAsia="宋体" w:cs="宋体"/>
          <w:sz w:val="24"/>
          <w:szCs w:val="24"/>
          <w:highlight w:val="none"/>
          <w:lang w:val="en-US" w:eastAsia="zh-Hans"/>
        </w:rPr>
        <w:t>指出</w:t>
      </w:r>
      <w:r>
        <w:rPr>
          <w:rFonts w:hint="eastAsia" w:ascii="宋体" w:hAnsi="宋体" w:eastAsia="宋体" w:cs="宋体"/>
          <w:sz w:val="24"/>
          <w:szCs w:val="24"/>
          <w:highlight w:val="none"/>
          <w:lang w:val="en-US" w:eastAsia="zh-CN"/>
        </w:rPr>
        <w:t>，要统筹做好茶文化、茶产业、茶科技这篇大文章，坚持绿色发展方向，强化品牌意识，优化营销流通环境，打牢乡村振兴的产业基础。要深入推进科技特派员制度，让广大科技特派员把论文写在田野大地上。</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市场意识薄弱，特别是品牌意识非常落后。身处市场经济最前沿，天风证券了解市场需求和运作方法，通过品牌打造和互联网技术的运用，针对帮扶地区特色农产品开展消费</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，协助</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特色产品对接市场，拓宽销售渠道，取得了良好的经济效益和社会效益。</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在消费</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方面，以利川为例，天风证券与利川企业飞强茶业结对开展“一县一企”帮扶工作，协助重点打造利川红茶品牌、帮助优化产品包装、拓展销售渠道。在利川红茶品牌塑造和产品推广方面，天风证券免费为结对帮扶的企业优化包装设计、融入品牌思维、打造定制产品。此外，天风证券积极推动利川中药材及利川红茶等产品挂牌交易，联合武汉农畜产品交易所，解决农产品销路问题，先后协助利川特色农产品“利川红”4个品类产品上线消费</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平台，并为其特色农产品设计全新包装，作为公司礼品和会议用茶，通过开展茶叶展销会，面向客户、员工、伙伴及股东单位做</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推介，同时开展消费认购，并推荐其参与中证报价系统主办的“精准</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专场拍卖会”，以“互联网+拍卖+消费”的创新</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方式，引导消费者优先购买</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的农产品，让日常消费与</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相结合，协助利川红茶企业拓展销售渠道，打造全国知名品牌。</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在新冠疫情期间，天风证券与飞强茶业签订2020年度消费</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认购合同，采购130万元利川红茶产品，尽力缓解疫情产生的茶叶滞销情况，助力利川企业复工复产。此外，天风证券还帮助飞强茶业对接“直播平台”，联系直播网红，在半小时内帮助飞强茶业销售总金额达400万元。</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目前</w:t>
      </w:r>
      <w:r>
        <w:rPr>
          <w:rFonts w:hint="default"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CN"/>
        </w:rPr>
        <w:t>飞强茶业生产的“星斗山·利川红茶”已成为国事用茶，星斗山茶企当选第七届世界军人运动会独家红茶供应商。通过助推利川红茶产业发展，天风证券带动当地2个合作社、8个行政村的500余名</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人口种茶、采茶，过上了好日子。</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至目前，天风证券通过带来电商、农业专家、先进技术与现代化品牌营销思维，帮助凉山猴头菇、房县小花菇、利川红茶、神农架蜂蜜等30多种特色农产品设计包装、打造品牌，累计认购近千万元、推广销售5000余万元。</w:t>
      </w:r>
    </w:p>
    <w:p>
      <w:pPr>
        <w:spacing w:line="360" w:lineRule="auto"/>
        <w:ind w:firstLine="480" w:firstLineChars="200"/>
        <w:jc w:val="both"/>
        <w:rPr>
          <w:rFonts w:hint="eastAsia" w:ascii="宋体" w:hAnsi="宋体" w:eastAsia="宋体" w:cs="宋体"/>
          <w:sz w:val="24"/>
          <w:szCs w:val="24"/>
          <w:highlight w:val="none"/>
          <w:lang w:val="en-US" w:eastAsia="zh-CN"/>
        </w:rPr>
        <w:sectPr>
          <w:pgSz w:w="11906" w:h="16838"/>
          <w:pgMar w:top="1440" w:right="1800" w:bottom="1440" w:left="1800" w:header="851" w:footer="992" w:gutter="0"/>
          <w:cols w:space="425" w:num="1"/>
          <w:docGrid w:type="lines" w:linePitch="312" w:charSpace="0"/>
        </w:sect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0"/>
        <w:rPr>
          <w:rFonts w:hint="default" w:ascii="黑体" w:hAnsi="黑体" w:eastAsia="黑体" w:cs="黑体"/>
          <w:b w:val="0"/>
          <w:bCs w:val="0"/>
          <w:kern w:val="44"/>
          <w:sz w:val="30"/>
          <w:szCs w:val="30"/>
          <w:highlight w:val="none"/>
          <w:lang w:val="en-US" w:eastAsia="zh-CN" w:bidi="ar-SA"/>
        </w:rPr>
        <w:sectPr>
          <w:pgSz w:w="11906" w:h="16838"/>
          <w:pgMar w:top="1440" w:right="1800" w:bottom="1440" w:left="1800" w:header="851" w:footer="992" w:gutter="0"/>
          <w:cols w:space="425" w:num="1"/>
          <w:docGrid w:type="lines" w:linePitch="312" w:charSpace="0"/>
        </w:sectPr>
      </w:pPr>
      <w:bookmarkStart w:id="7" w:name="_Toc16774"/>
      <w:r>
        <w:rPr>
          <w:rFonts w:hint="eastAsia" w:ascii="黑体" w:hAnsi="黑体" w:eastAsia="黑体" w:cs="黑体"/>
          <w:b w:val="0"/>
          <w:bCs w:val="0"/>
          <w:kern w:val="44"/>
          <w:sz w:val="30"/>
          <w:szCs w:val="30"/>
          <w:highlight w:val="none"/>
          <w:lang w:val="en-US" w:eastAsia="zh-Hans" w:bidi="ar-SA"/>
        </w:rPr>
        <w:t>第</w:t>
      </w:r>
      <w:r>
        <w:rPr>
          <w:rFonts w:hint="eastAsia" w:ascii="黑体" w:hAnsi="黑体" w:eastAsia="黑体" w:cs="黑体"/>
          <w:b w:val="0"/>
          <w:bCs w:val="0"/>
          <w:kern w:val="44"/>
          <w:sz w:val="30"/>
          <w:szCs w:val="30"/>
          <w:highlight w:val="none"/>
          <w:lang w:val="en-US" w:eastAsia="zh-CN" w:bidi="ar-SA"/>
        </w:rPr>
        <w:t>三</w:t>
      </w:r>
      <w:r>
        <w:rPr>
          <w:rFonts w:hint="eastAsia" w:ascii="黑体" w:hAnsi="黑体" w:eastAsia="黑体" w:cs="黑体"/>
          <w:b w:val="0"/>
          <w:bCs w:val="0"/>
          <w:kern w:val="44"/>
          <w:sz w:val="30"/>
          <w:szCs w:val="30"/>
          <w:highlight w:val="none"/>
          <w:lang w:val="en-US" w:eastAsia="zh-Hans" w:bidi="ar-SA"/>
        </w:rPr>
        <w:t>章</w:t>
      </w:r>
      <w:r>
        <w:rPr>
          <w:rFonts w:hint="default" w:ascii="黑体" w:hAnsi="黑体" w:eastAsia="黑体" w:cs="黑体"/>
          <w:b w:val="0"/>
          <w:bCs w:val="0"/>
          <w:kern w:val="44"/>
          <w:sz w:val="30"/>
          <w:szCs w:val="30"/>
          <w:highlight w:val="none"/>
          <w:lang w:eastAsia="zh-Hans" w:bidi="ar-SA"/>
        </w:rPr>
        <w:t xml:space="preserve"> 党建引领志愿服务</w:t>
      </w:r>
      <w:r>
        <w:rPr>
          <w:rFonts w:hint="eastAsia" w:ascii="黑体" w:hAnsi="黑体" w:eastAsia="黑体" w:cs="黑体"/>
          <w:b w:val="0"/>
          <w:bCs w:val="0"/>
          <w:kern w:val="44"/>
          <w:sz w:val="30"/>
          <w:szCs w:val="30"/>
          <w:highlight w:val="none"/>
          <w:lang w:val="en-US" w:eastAsia="zh-Hans" w:bidi="ar-SA"/>
        </w:rPr>
        <w:t>推动</w:t>
      </w:r>
      <w:r>
        <w:rPr>
          <w:rFonts w:hint="default" w:ascii="黑体" w:hAnsi="黑体" w:eastAsia="黑体" w:cs="黑体"/>
          <w:b w:val="0"/>
          <w:bCs w:val="0"/>
          <w:kern w:val="44"/>
          <w:sz w:val="30"/>
          <w:szCs w:val="30"/>
          <w:highlight w:val="none"/>
          <w:lang w:eastAsia="zh-Hans" w:bidi="ar-SA"/>
        </w:rPr>
        <w:t>乡村振兴工作</w:t>
      </w:r>
      <w:bookmarkEnd w:id="7"/>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default"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8" w:name="_Toc24050"/>
      <w:r>
        <w:rPr>
          <w:rFonts w:hint="eastAsia" w:ascii="黑体" w:hAnsi="黑体" w:eastAsia="黑体" w:cs="黑体"/>
          <w:b w:val="0"/>
          <w:bCs w:val="0"/>
          <w:kern w:val="44"/>
          <w:sz w:val="28"/>
          <w:szCs w:val="28"/>
          <w:highlight w:val="none"/>
          <w:lang w:val="en-US" w:eastAsia="zh-CN" w:bidi="ar-SA"/>
        </w:rPr>
        <w:t>3</w:t>
      </w:r>
      <w:r>
        <w:rPr>
          <w:rFonts w:hint="eastAsia" w:ascii="黑体" w:hAnsi="黑体" w:eastAsia="黑体" w:cs="黑体"/>
          <w:b w:val="0"/>
          <w:bCs w:val="0"/>
          <w:kern w:val="44"/>
          <w:sz w:val="28"/>
          <w:szCs w:val="28"/>
          <w:highlight w:val="none"/>
          <w:lang w:val="en-US" w:eastAsia="zh-Hans" w:bidi="ar-SA"/>
        </w:rPr>
        <w:t>.</w:t>
      </w:r>
      <w:r>
        <w:rPr>
          <w:rFonts w:hint="default" w:ascii="黑体" w:hAnsi="黑体" w:eastAsia="黑体" w:cs="黑体"/>
          <w:b w:val="0"/>
          <w:bCs w:val="0"/>
          <w:kern w:val="44"/>
          <w:sz w:val="28"/>
          <w:szCs w:val="28"/>
          <w:highlight w:val="none"/>
          <w:lang w:eastAsia="zh-Hans" w:bidi="ar-SA"/>
        </w:rPr>
        <w:t>1坚持党的领导的正确性和必要</w:t>
      </w:r>
      <w:r>
        <w:rPr>
          <w:rFonts w:hint="eastAsia" w:ascii="黑体" w:hAnsi="黑体" w:eastAsia="黑体" w:cs="黑体"/>
          <w:b w:val="0"/>
          <w:bCs w:val="0"/>
          <w:kern w:val="44"/>
          <w:sz w:val="28"/>
          <w:szCs w:val="28"/>
          <w:highlight w:val="none"/>
          <w:lang w:val="en-US" w:eastAsia="zh-Hans" w:bidi="ar-SA"/>
        </w:rPr>
        <w:t>性</w:t>
      </w:r>
      <w:bookmarkEnd w:id="8"/>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天风证券深入开展精准</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工作，始终坚持以习近平同志为核心的党中央的领导，充分发挥基层党组织的战斗堡垒作用，不忘初心、牢记使命，在乡村振兴的日子里，下功夫、做实事。</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国共产党是中国特色社会主义的领导核心，坚持党的领导是中国特色社会主义制度的最大优势，是实现经济社会持续健康发展的根本政治保证。正是在党的坚强领导下，中国取得了新民主主义革命的胜利、社会主义革命和社会主义建设事业的胜利，进而又取得了中国特色社会主义事业的巨大成功。只有坚持党的领导，才能始终保持现代化建设的社会主义方向，才能维护国家的统一、民族的团结，并为社会主义现代化建设创造稳定的社会环境。</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经过改革开放40余年的努力，我国成功走出了一条中国特色</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开发道路。党中央在不同时期实施不同的</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战略，先后实施了推进农村经济体制改革推动减贫、区域开发式</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、综合性</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攻坚等，逐步建立了常态化的减贫工作机制，减贫重心实现了从救济式到开发式、再到参与式的重大转变，</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工作取得了明显成效。</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天风证券在</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中坚持党的领导，用党的理论和纲要指导实际工作，能够体现中国共产党领导和中国特色社会主义制度的优越性，</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工作也能够更好开展。</w:t>
      </w:r>
    </w:p>
    <w:p>
      <w:pPr>
        <w:rPr>
          <w:rFonts w:hint="eastAsia" w:ascii="仿宋" w:hAnsi="仿宋" w:eastAsia="仿宋"/>
          <w:szCs w:val="32"/>
          <w:highlight w:val="none"/>
          <w:lang w:val="en-US" w:eastAsia="zh-CN"/>
        </w:rPr>
        <w:sectPr>
          <w:pgSz w:w="11906" w:h="16838"/>
          <w:pgMar w:top="1440" w:right="1800" w:bottom="1440" w:left="1800" w:header="851" w:footer="992" w:gutter="0"/>
          <w:cols w:space="425" w:num="1"/>
          <w:docGrid w:type="lines" w:linePitch="312" w:charSpace="0"/>
        </w:sect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eastAsia"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9" w:name="_Toc30983"/>
      <w:r>
        <w:rPr>
          <w:rFonts w:hint="eastAsia" w:ascii="黑体" w:hAnsi="黑体" w:eastAsia="黑体" w:cs="黑体"/>
          <w:b w:val="0"/>
          <w:bCs w:val="0"/>
          <w:kern w:val="44"/>
          <w:sz w:val="28"/>
          <w:szCs w:val="28"/>
          <w:highlight w:val="none"/>
          <w:lang w:val="en-US" w:eastAsia="zh-CN" w:bidi="ar-SA"/>
        </w:rPr>
        <w:t>3.2</w:t>
      </w:r>
      <w:r>
        <w:rPr>
          <w:rFonts w:hint="default" w:ascii="黑体" w:hAnsi="黑体" w:eastAsia="黑体" w:cs="黑体"/>
          <w:b w:val="0"/>
          <w:bCs w:val="0"/>
          <w:kern w:val="44"/>
          <w:sz w:val="28"/>
          <w:szCs w:val="28"/>
          <w:highlight w:val="none"/>
          <w:lang w:eastAsia="zh-Hans" w:bidi="ar-SA"/>
        </w:rPr>
        <w:t>公益帮扶：党建引领，凝聚公益帮扶新力量</w:t>
      </w:r>
      <w:bookmarkEnd w:id="9"/>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公益</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方面，天风证券通过参与成立欣鑫慈善基金会，推进党员</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志愿服务。七年来，200余名天风党员</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志愿者为</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一线不断注入公益</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新力量。</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利川为例，疫情期间，天风证券心系利川，第一时间伸出援手，助力利川抗击新冠肺炎疫情。作为总部设于武汉的企业，天风证券勇担责任，积极组织200名志愿者参与抗击疫情行动，为利川指挥部、利川东方协和医院等利川疫情防控单位捐助KN95口罩475个、一次性医用手套18000双、杜邦防护服100件、漂粉精消毒剂5吨、delta防护服200件、一次性医用手套3500双、一次性圆帽10000只、cpe鞋套8000双、防护面罩300个、空气消毒凝胶300瓶等价值15万元的防疫物资。针对部分家庭生活困难的利川学子，天风证券联合欣鑫慈善基金会为7个利川</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家庭捐赠抗疫救助金、急救包等应急款物，价值约1.4万元。此外，还为包含利川市所有确诊新冠肺炎的建档立卡</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群众在内的625名湖北省全部确诊新冠肺炎的</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群众购买重疾保险与交通意外险，提供常态化疫情防控形势下的长效保障。</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2020年8月，天风证券欣鑫慈善基金会邀请利川中小学生代表与奥运冠军郭晶晶等一同赴武汉参加游学夏令营，并为包含利川学子15人次在内的15个</w:t>
      </w:r>
      <w:r>
        <w:rPr>
          <w:rFonts w:hint="default" w:ascii="宋体" w:hAnsi="宋体" w:eastAsia="宋体" w:cs="宋体"/>
          <w:sz w:val="24"/>
          <w:szCs w:val="24"/>
          <w:highlight w:val="none"/>
          <w:lang w:eastAsia="zh-CN"/>
        </w:rPr>
        <w:t>脱贫县</w:t>
      </w:r>
      <w:r>
        <w:rPr>
          <w:rFonts w:hint="eastAsia" w:ascii="宋体" w:hAnsi="宋体" w:eastAsia="宋体" w:cs="宋体"/>
          <w:sz w:val="24"/>
          <w:szCs w:val="24"/>
          <w:highlight w:val="none"/>
          <w:lang w:val="en-US" w:eastAsia="zh-CN"/>
        </w:rPr>
        <w:t>300余人次学生发放天风证券欣鑫慈善奖学金，组织爱心导师与学生结对，为利川学子发放奖学金3.2万元。</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2021年8月至2022年3月，天风证券发起证券行业乡村振兴公益支教志愿服务活动——“橙才计划”。来自天风证券党员青年志愿服务队、华中师范大学、华中农业大学、武汉工程大学的250余名青年志愿者与国家级脱贫县秭归县、房县等地100余名学子进行结对，为孩子们提供800余堂线上线下公益支教课程，累计时长1500余小时，提供包含少儿财商课、自然知识科普课、党史教育课、北京冬奥会小知识等特色课程内容，通过充实假期生活，帮助留守学子开阔视野，与陪孩子们共度一个不一样的寒假。</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六一前夕，志愿者一行前往房县继续开展“橙才计划”乡村振兴公益支教志愿服务活动。党史教育、少儿财商课、化学科普课……，寒假的线上课程被搬到了线下课堂，志愿者们为孩子们精心策划了这份特别的“六一礼物”。志愿者们又赶往窑场村幼儿园，看望那里的儿童，与他们共唱一首歌、共读一首诗、共跳一支拍手舞、共玩一场游戏，天风证券党员志愿服务队还准备了300余套适合各年龄段孩子们的书籍和学习用品，并为他们送去了定制的爱心校服。</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7月至8月，天风证券联合华中师范大学乡村振兴金融教育实践中心教授专家团、武汉工程大学教授博士服务团、武汉工程大学WIT知行社会实践团，深入房县浴尚厨卫、星源科技、陈家铺糖薄虎香瓜园、神农贡茶业与秭归县脐橙产品生产单位屈姑公司、利川市星斗山茶业等地调研，为县域经济高质量发展建言献策，支持房县乡村振兴定点帮扶工作与秭归“大思政课”建设，助力国家级脱贫县产业振兴。</w:t>
      </w:r>
    </w:p>
    <w:p>
      <w:pPr>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8月，天风天睿邀请房县窑淮镇中心学校老师带领三名低收入家庭学生前往武汉，参观湖北省博物馆、武汉市自然博物馆、黄鹤楼等地，旨在为孩子们解决经济困难之余，突破乡村教育尚存的局限，带领他们走出村镇，走进城市，在丰富知识、开阔眼界的同时，进一步激发孩子们的自主学习动力，鼓励他们树立更高目标，引导他们开拓更广阔的天地。</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天风证券已连续五年公益性支出占比排名行业前列，在证监会</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考核中连续五年获满分，取得证券行业最佳成绩。天风证券还推出“梦想计划”圆梦工程，党员</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工作者为</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学子定制圆梦方案，通过结对专业教授、捐助爱心物资与专项逐梦金、推荐或提供专业发展平台，引导</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学子树立坚定的理想信念，帮助他们早日实现梦想。</w:t>
      </w:r>
    </w:p>
    <w:p>
      <w:pPr>
        <w:spacing w:line="360" w:lineRule="auto"/>
        <w:ind w:firstLine="480" w:firstLineChars="200"/>
        <w:jc w:val="both"/>
        <w:rPr>
          <w:rFonts w:hint="eastAsia" w:ascii="宋体" w:hAnsi="宋体" w:eastAsia="宋体" w:cs="宋体"/>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highlight w:val="none"/>
          <w:lang w:val="en-US" w:eastAsia="zh-CN"/>
        </w:rPr>
        <w:t>通过整合资源优势、资本优势、资智优势，天风证券“花钱”不“撒钱”，“输血”更“造血”，以长远的可持续发展眼光和“分享+陪伴成长”的心态，深入持久地展开工作，讲政治、讲实效、讲情怀，充分发挥资本的力量，用心思考金融机构在</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工作中的优势和作用，不断提升金融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成效，以实际行动推进乡村振兴，助力美丽乡村建设。同时，坚持服务国家</w:t>
      </w:r>
      <w:r>
        <w:rPr>
          <w:rFonts w:hint="default" w:ascii="宋体" w:hAnsi="宋体" w:eastAsia="宋体" w:cs="宋体"/>
          <w:sz w:val="24"/>
          <w:szCs w:val="24"/>
          <w:highlight w:val="none"/>
          <w:lang w:eastAsia="zh-CN"/>
        </w:rPr>
        <w:t>乡村振兴</w:t>
      </w:r>
      <w:r>
        <w:rPr>
          <w:rFonts w:hint="eastAsia" w:ascii="宋体" w:hAnsi="宋体" w:eastAsia="宋体" w:cs="宋体"/>
          <w:sz w:val="24"/>
          <w:szCs w:val="24"/>
          <w:highlight w:val="none"/>
          <w:lang w:val="en-US" w:eastAsia="zh-CN"/>
        </w:rPr>
        <w:t>战略不松懈，坚持金融助力产业发展不松懈，坚持履行企业社会责任不松懈，为</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发展插上资本的翅膀，与</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困难群众一道进入小康社会。</w:t>
      </w: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0"/>
        <w:rPr>
          <w:rFonts w:hint="default" w:ascii="黑体" w:hAnsi="黑体" w:eastAsia="黑体" w:cs="黑体"/>
          <w:b w:val="0"/>
          <w:bCs w:val="0"/>
          <w:kern w:val="44"/>
          <w:sz w:val="30"/>
          <w:szCs w:val="30"/>
          <w:highlight w:val="none"/>
          <w:lang w:val="en-US" w:eastAsia="zh-CN" w:bidi="ar-SA"/>
        </w:rPr>
        <w:sectPr>
          <w:pgSz w:w="11906" w:h="16838"/>
          <w:pgMar w:top="1440" w:right="1800" w:bottom="1440" w:left="1800" w:header="851" w:footer="992" w:gutter="0"/>
          <w:cols w:space="425" w:num="1"/>
          <w:docGrid w:type="lines" w:linePitch="312" w:charSpace="0"/>
        </w:sectPr>
      </w:pPr>
      <w:bookmarkStart w:id="10" w:name="_Toc21361"/>
      <w:r>
        <w:rPr>
          <w:rFonts w:hint="eastAsia" w:ascii="黑体" w:hAnsi="黑体" w:eastAsia="黑体" w:cs="黑体"/>
          <w:b w:val="0"/>
          <w:bCs w:val="0"/>
          <w:kern w:val="44"/>
          <w:sz w:val="30"/>
          <w:szCs w:val="30"/>
          <w:highlight w:val="none"/>
          <w:lang w:val="en-US" w:eastAsia="zh-Hans" w:bidi="ar-SA"/>
        </w:rPr>
        <w:t>第</w:t>
      </w:r>
      <w:r>
        <w:rPr>
          <w:rFonts w:hint="eastAsia" w:ascii="黑体" w:hAnsi="黑体" w:eastAsia="黑体" w:cs="黑体"/>
          <w:b w:val="0"/>
          <w:bCs w:val="0"/>
          <w:kern w:val="44"/>
          <w:sz w:val="30"/>
          <w:szCs w:val="30"/>
          <w:highlight w:val="none"/>
          <w:lang w:val="en-US" w:eastAsia="zh-CN" w:bidi="ar-SA"/>
        </w:rPr>
        <w:t>四</w:t>
      </w:r>
      <w:r>
        <w:rPr>
          <w:rFonts w:hint="eastAsia" w:ascii="黑体" w:hAnsi="黑体" w:eastAsia="黑体" w:cs="黑体"/>
          <w:b w:val="0"/>
          <w:bCs w:val="0"/>
          <w:kern w:val="44"/>
          <w:sz w:val="30"/>
          <w:szCs w:val="30"/>
          <w:highlight w:val="none"/>
          <w:lang w:val="en-US" w:eastAsia="zh-Hans" w:bidi="ar-SA"/>
        </w:rPr>
        <w:t>章</w:t>
      </w:r>
      <w:r>
        <w:rPr>
          <w:rFonts w:hint="default" w:ascii="黑体" w:hAnsi="黑体" w:eastAsia="黑体" w:cs="黑体"/>
          <w:b w:val="0"/>
          <w:bCs w:val="0"/>
          <w:kern w:val="44"/>
          <w:sz w:val="30"/>
          <w:szCs w:val="30"/>
          <w:highlight w:val="none"/>
          <w:lang w:eastAsia="zh-Hans" w:bidi="ar-SA"/>
        </w:rPr>
        <w:t xml:space="preserve"> </w:t>
      </w:r>
      <w:r>
        <w:rPr>
          <w:rFonts w:hint="eastAsia" w:ascii="黑体" w:hAnsi="黑体" w:eastAsia="黑体" w:cs="黑体"/>
          <w:b w:val="0"/>
          <w:bCs w:val="0"/>
          <w:kern w:val="44"/>
          <w:sz w:val="30"/>
          <w:szCs w:val="30"/>
          <w:highlight w:val="none"/>
          <w:lang w:val="en-US" w:eastAsia="zh-CN" w:bidi="ar-SA"/>
        </w:rPr>
        <w:t>结论分析</w:t>
      </w:r>
      <w:bookmarkEnd w:id="10"/>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rPr>
          <w:rFonts w:ascii="仿宋" w:hAnsi="仿宋" w:eastAsia="仿宋"/>
          <w:b/>
          <w:bCs/>
          <w:sz w:val="32"/>
          <w:szCs w:val="32"/>
          <w:highlight w:val="none"/>
        </w:rPr>
      </w:pPr>
    </w:p>
    <w:p>
      <w:pPr>
        <w:jc w:val="center"/>
        <w:outlineLvl w:val="1"/>
        <w:rPr>
          <w:rFonts w:hint="eastAsia" w:ascii="黑体" w:hAnsi="黑体" w:eastAsia="黑体" w:cs="黑体"/>
          <w:b w:val="0"/>
          <w:bCs w:val="0"/>
          <w:kern w:val="44"/>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bookmarkStart w:id="11" w:name="_Toc2852"/>
      <w:r>
        <w:rPr>
          <w:rFonts w:hint="eastAsia" w:ascii="黑体" w:hAnsi="黑体" w:eastAsia="黑体" w:cs="黑体"/>
          <w:b w:val="0"/>
          <w:bCs w:val="0"/>
          <w:kern w:val="44"/>
          <w:sz w:val="28"/>
          <w:szCs w:val="28"/>
          <w:highlight w:val="none"/>
          <w:lang w:val="en-US" w:eastAsia="zh-CN" w:bidi="ar-SA"/>
        </w:rPr>
        <w:t>4.1</w:t>
      </w:r>
      <w:r>
        <w:rPr>
          <w:rFonts w:hint="default" w:ascii="黑体" w:hAnsi="黑体" w:eastAsia="黑体" w:cs="黑体"/>
          <w:b w:val="0"/>
          <w:bCs w:val="0"/>
          <w:kern w:val="44"/>
          <w:sz w:val="28"/>
          <w:szCs w:val="28"/>
          <w:highlight w:val="none"/>
          <w:lang w:eastAsia="zh-Hans" w:bidi="ar-SA"/>
        </w:rPr>
        <w:t>着眼长效，构建券商帮扶新标准</w:t>
      </w:r>
      <w:bookmarkEnd w:id="11"/>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金融机构作为精准</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战略的重要组成部分在推动个人参与、实现社会价值、拓展公共领域等方面扮演着日益重要的角色，蕴藏着巨大的人力、智力、资金、技术等潜力，是精准</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的一支重要生力军，在参与</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工作中具备天然的优势。作为优秀券商企业，天风证券把学习好、贯彻好、落实好习近平总书记</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开发战略思想作为一项重要政治任务，认真履行企业社会责任，大力实施金融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，切实发挥金融机构在金融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中的主力军作用。天风证券侧重产业发展帮扶，结合</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资源禀赋，充分发挥自身综合金融服务优势，以资源整合为核心，全力支持</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重点产业和龙头企业发展，通过产业发展带动</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经济发展和</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人口</w:t>
      </w:r>
      <w:r>
        <w:rPr>
          <w:rFonts w:hint="eastAsia" w:ascii="宋体" w:hAnsi="宋体" w:eastAsia="宋体" w:cs="宋体"/>
          <w:sz w:val="24"/>
          <w:szCs w:val="24"/>
          <w:highlight w:val="none"/>
          <w:lang w:val="en-US" w:eastAsia="zh-Hans"/>
        </w:rPr>
        <w:t>帮扶</w:t>
      </w:r>
      <w:r>
        <w:rPr>
          <w:rFonts w:hint="eastAsia" w:ascii="宋体" w:hAnsi="宋体" w:eastAsia="宋体" w:cs="宋体"/>
          <w:sz w:val="24"/>
          <w:szCs w:val="24"/>
          <w:highlight w:val="none"/>
          <w:lang w:val="en-US" w:eastAsia="zh-CN"/>
        </w:rPr>
        <w:t>。为了巩固</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成果，天风证券制定</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费用管理制度，建立</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工作定期汇报机制。目前已发布38期扶贫简报、142篇专题调研报告、3期扶贫专刊、7本社会责任报告与ESG报告，累计字数约80万字。</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w:t>
      </w:r>
      <w:r>
        <w:rPr>
          <w:rFonts w:hint="default" w:ascii="宋体" w:hAnsi="宋体" w:eastAsia="宋体" w:cs="宋体"/>
          <w:sz w:val="24"/>
          <w:szCs w:val="24"/>
          <w:highlight w:val="none"/>
          <w:lang w:eastAsia="zh-CN"/>
        </w:rPr>
        <w:t>021</w:t>
      </w:r>
      <w:r>
        <w:rPr>
          <w:rFonts w:hint="eastAsia" w:ascii="宋体" w:hAnsi="宋体" w:eastAsia="宋体" w:cs="宋体"/>
          <w:sz w:val="24"/>
          <w:szCs w:val="24"/>
          <w:highlight w:val="none"/>
          <w:lang w:eastAsia="zh-CN"/>
        </w:rPr>
        <w:t>年9月，与中国政策科学研究会合作建立共同富裕研究院，共同开展研究调查，致力于为推进共同富裕提供智力支持和战略研究保障。</w:t>
      </w:r>
      <w:r>
        <w:rPr>
          <w:rFonts w:hint="eastAsia" w:ascii="宋体" w:hAnsi="宋体" w:eastAsia="宋体" w:cs="宋体"/>
          <w:sz w:val="24"/>
          <w:szCs w:val="24"/>
          <w:highlight w:val="none"/>
          <w:lang w:val="en-US" w:eastAsia="zh-CN"/>
        </w:rPr>
        <w:t>此前，天风证券是全国唯一开展“证券公司</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绩效评估指标体系”研究的证券公司。此体系由6项一级指标、48项二级指标及深度</w:t>
      </w:r>
      <w:r>
        <w:rPr>
          <w:rFonts w:hint="default" w:ascii="宋体" w:hAnsi="宋体" w:eastAsia="宋体" w:cs="宋体"/>
          <w:sz w:val="24"/>
          <w:szCs w:val="24"/>
          <w:highlight w:val="none"/>
          <w:lang w:eastAsia="zh-CN"/>
        </w:rPr>
        <w:t>困难</w:t>
      </w:r>
      <w:r>
        <w:rPr>
          <w:rFonts w:hint="eastAsia" w:ascii="宋体" w:hAnsi="宋体" w:eastAsia="宋体" w:cs="宋体"/>
          <w:sz w:val="24"/>
          <w:szCs w:val="24"/>
          <w:highlight w:val="none"/>
          <w:lang w:val="en-US" w:eastAsia="zh-CN"/>
        </w:rPr>
        <w:t>加成系数组成，为证券行业提供标准化</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参考，为各级政府</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决策和考核提供科学支撑，为巩固金融</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成果提供长效解决方案。同时天风证券还深度参与了上海证券交易所</w:t>
      </w:r>
      <w:r>
        <w:rPr>
          <w:rFonts w:hint="eastAsia" w:ascii="宋体" w:hAnsi="宋体" w:eastAsia="宋体" w:cs="宋体"/>
          <w:sz w:val="24"/>
          <w:szCs w:val="24"/>
          <w:highlight w:val="none"/>
          <w:lang w:val="en-US" w:eastAsia="zh-Hans"/>
        </w:rPr>
        <w:t>关于</w:t>
      </w:r>
      <w:r>
        <w:rPr>
          <w:rFonts w:hint="eastAsia" w:ascii="宋体" w:hAnsi="宋体" w:eastAsia="宋体" w:cs="宋体"/>
          <w:sz w:val="24"/>
          <w:szCs w:val="24"/>
          <w:highlight w:val="none"/>
          <w:lang w:val="en-US" w:eastAsia="zh-CN"/>
        </w:rPr>
        <w:t>中国上市公司</w:t>
      </w:r>
      <w:r>
        <w:rPr>
          <w:rFonts w:hint="eastAsia" w:ascii="宋体" w:hAnsi="宋体" w:eastAsia="宋体" w:cs="宋体"/>
          <w:sz w:val="24"/>
          <w:szCs w:val="24"/>
          <w:highlight w:val="none"/>
          <w:lang w:val="en-US" w:eastAsia="zh-Hans"/>
        </w:rPr>
        <w:t>帮扶</w:t>
      </w:r>
      <w:r>
        <w:rPr>
          <w:rFonts w:hint="eastAsia" w:ascii="宋体" w:hAnsi="宋体" w:eastAsia="宋体" w:cs="宋体"/>
          <w:sz w:val="24"/>
          <w:szCs w:val="24"/>
          <w:highlight w:val="none"/>
          <w:lang w:val="en-US" w:eastAsia="zh-CN"/>
        </w:rPr>
        <w:t>信息披露分析及建议</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lang w:val="en-US" w:eastAsia="zh-CN"/>
        </w:rPr>
        <w:t>研究，为上市公司</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信息的标准化披露提供理论依据，为有关部门监管上市公司</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信息披露提供评估依据。</w:t>
      </w:r>
    </w:p>
    <w:p>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七年精准</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，在党建引领下，天风证券从行业属性和专业能力出发，深耕基层、创新不止，在市场经济最前沿的证券公司与远离现代市场的</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之间，架起了一座桥梁，找到证券公司造血</w:t>
      </w:r>
      <w:r>
        <w:rPr>
          <w:rFonts w:hint="default" w:ascii="宋体" w:hAnsi="宋体" w:eastAsia="宋体" w:cs="宋体"/>
          <w:sz w:val="24"/>
          <w:szCs w:val="24"/>
          <w:highlight w:val="none"/>
          <w:lang w:eastAsia="zh-CN"/>
        </w:rPr>
        <w:t>帮扶</w:t>
      </w:r>
      <w:r>
        <w:rPr>
          <w:rFonts w:hint="eastAsia" w:ascii="宋体" w:hAnsi="宋体" w:eastAsia="宋体" w:cs="宋体"/>
          <w:sz w:val="24"/>
          <w:szCs w:val="24"/>
          <w:highlight w:val="none"/>
          <w:lang w:val="en-US" w:eastAsia="zh-CN"/>
        </w:rPr>
        <w:t>的路径，帮助</w:t>
      </w:r>
      <w:r>
        <w:rPr>
          <w:rFonts w:hint="default" w:ascii="宋体" w:hAnsi="宋体" w:eastAsia="宋体" w:cs="宋体"/>
          <w:sz w:val="24"/>
          <w:szCs w:val="24"/>
          <w:highlight w:val="none"/>
          <w:lang w:eastAsia="zh-CN"/>
        </w:rPr>
        <w:t>国家级脱贫县</w:t>
      </w:r>
      <w:r>
        <w:rPr>
          <w:rFonts w:hint="eastAsia" w:ascii="宋体" w:hAnsi="宋体" w:eastAsia="宋体" w:cs="宋体"/>
          <w:sz w:val="24"/>
          <w:szCs w:val="24"/>
          <w:highlight w:val="none"/>
          <w:lang w:val="en-US" w:eastAsia="zh-CN"/>
        </w:rPr>
        <w:t>跨越与发达地区之间的资本鸿沟、知识鸿沟、市场鸿沟、社会鸿沟。在常态化疫情防控形势下，天风证券将坚定不移坚持党的领导，持续担起时代责任，创新牵引、一往无前，奋力助推乡村振兴，在中华民族伟大复兴的征程中贡献具有证券特色的天风力量</w:t>
      </w:r>
      <w:r>
        <w:rPr>
          <w:rFonts w:hint="default" w:ascii="宋体" w:hAnsi="宋体" w:eastAsia="宋体" w:cs="宋体"/>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6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snapToGrid w:val="0"/>
        <w:rPr>
          <w:rFonts w:hint="eastAsia" w:eastAsia="FangSong_GB2312"/>
          <w:lang w:val="en-US" w:eastAsia="zh-CN"/>
        </w:rPr>
      </w:pPr>
      <w:r>
        <w:rPr>
          <w:rStyle w:val="10"/>
        </w:rPr>
        <w:footnoteRef/>
      </w:r>
      <w:r>
        <w:t xml:space="preserve"> </w:t>
      </w:r>
      <w:r>
        <w:rPr>
          <w:rFonts w:hint="eastAsia"/>
          <w:lang w:val="en-US" w:eastAsia="zh-CN"/>
        </w:rPr>
        <w:t>鞠彬彬，女，1989年11月出生，第七届世界军人运动会志愿者形象大使，现任天风证券股份有限公司ESG总监、乡村振兴总监、工会副主席，四川省欣鑫慈善基金会负责人。长期致力于乡村振兴工作；加入天风证券后，带领天风证券搭建以助力脱贫攻坚服务乡村振兴为核心的社会责任体系，牵头成立欣鑫慈善基金会。被中共中央宣传部、中央文明办评为“全国疫情防控最美志愿者”“中国好人”，国家乡村振兴局“全国优秀扶贫志愿者50佳”，《求是》杂志社《小康》杂志“全国全面建成小康社会十大突出贡献人物”。多次参与世界级大型赛会志愿服务，并被评为武汉军运会、上海世博会、广州亚运会优秀志愿者。</w:t>
      </w:r>
    </w:p>
  </w:footnote>
  <w:footnote w:id="1">
    <w:p>
      <w:pPr>
        <w:pStyle w:val="5"/>
        <w:snapToGrid w:val="0"/>
      </w:pPr>
      <w:r>
        <w:rPr>
          <w:rStyle w:val="10"/>
        </w:rPr>
        <w:footnoteRef/>
      </w:r>
      <w:r>
        <w:t xml:space="preserve"> </w:t>
      </w:r>
      <w:r>
        <w:rPr>
          <w:rFonts w:hint="eastAsia"/>
          <w:lang w:val="en-US" w:eastAsia="zh-CN"/>
        </w:rPr>
        <w:t>IPO</w:t>
      </w:r>
      <w:r>
        <w:rPr>
          <w:rFonts w:hint="eastAsia"/>
        </w:rPr>
        <w:t>是指一家企业第一次将它的股份向公众出售。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Yzk2ZDZjYjE5NGIzOGQxYTYzNTlmZTRlMzMzZjIifQ=="/>
  </w:docVars>
  <w:rsids>
    <w:rsidRoot w:val="6DAEEC95"/>
    <w:rsid w:val="158A4F2F"/>
    <w:rsid w:val="1E7FBD51"/>
    <w:rsid w:val="1FA4E8D5"/>
    <w:rsid w:val="21F1A54C"/>
    <w:rsid w:val="22C53BFF"/>
    <w:rsid w:val="269206AE"/>
    <w:rsid w:val="2A67C14B"/>
    <w:rsid w:val="2CCE61E0"/>
    <w:rsid w:val="33FF04F0"/>
    <w:rsid w:val="3480693D"/>
    <w:rsid w:val="36685C23"/>
    <w:rsid w:val="3A866C1D"/>
    <w:rsid w:val="3C7559DB"/>
    <w:rsid w:val="3D87469A"/>
    <w:rsid w:val="42951B4D"/>
    <w:rsid w:val="46056308"/>
    <w:rsid w:val="4F3414D2"/>
    <w:rsid w:val="55F93B75"/>
    <w:rsid w:val="5FCF2B3F"/>
    <w:rsid w:val="5FDB3E4D"/>
    <w:rsid w:val="6DAEEC95"/>
    <w:rsid w:val="6EFF2885"/>
    <w:rsid w:val="7FFD215F"/>
    <w:rsid w:val="9DF747B4"/>
    <w:rsid w:val="BCFB02C4"/>
    <w:rsid w:val="BCFFF672"/>
    <w:rsid w:val="DF5BA0BF"/>
    <w:rsid w:val="E67F1D51"/>
    <w:rsid w:val="EBCD4A3C"/>
    <w:rsid w:val="F17FA3B9"/>
    <w:rsid w:val="F3FEB525"/>
    <w:rsid w:val="FD7F6E4D"/>
    <w:rsid w:val="FEC7C125"/>
    <w:rsid w:val="FEEA96B3"/>
    <w:rsid w:val="FF77A111"/>
    <w:rsid w:val="FFAFD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qFormat/>
    <w:uiPriority w:val="0"/>
    <w:pPr>
      <w:snapToGrid w:val="0"/>
      <w:jc w:val="left"/>
    </w:pPr>
    <w:rPr>
      <w:sz w:val="18"/>
    </w:rPr>
  </w:style>
  <w:style w:type="paragraph" w:styleId="6">
    <w:name w:val="toc 2"/>
    <w:basedOn w:val="1"/>
    <w:next w:val="1"/>
    <w:qFormat/>
    <w:uiPriority w:val="0"/>
    <w:pPr>
      <w:ind w:left="420" w:leftChars="200"/>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footnote reference"/>
    <w:basedOn w:val="8"/>
    <w:qFormat/>
    <w:uiPriority w:val="0"/>
    <w:rPr>
      <w:vertAlign w:val="superscript"/>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8816</Words>
  <Characters>9016</Characters>
  <Lines>0</Lines>
  <Paragraphs>0</Paragraphs>
  <TotalTime>35</TotalTime>
  <ScaleCrop>false</ScaleCrop>
  <LinksUpToDate>false</LinksUpToDate>
  <CharactersWithSpaces>9232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2022-09-13T11:26:00Z</dcterms:created>
  <dc:creator>罗颖猷</dc:creator>
  <cp:lastModifiedBy>陳鋮</cp:lastModifiedBy>
  <dcterms:modified xsi:type="dcterms:W3CDTF">2022-09-16T07:53:36Z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42F158B4B5AA4286BECA2DA6A8E122AC</vt:lpwstr>
  </property>
</Properties>
</file>