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Ansi="华文中宋" w:eastAsia="华文中宋"/>
          <w:b/>
          <w:sz w:val="48"/>
          <w:szCs w:val="48"/>
        </w:rPr>
      </w:pPr>
      <w:r>
        <w:rPr>
          <w:rFonts w:hAnsi="华文中宋" w:eastAsia="华文中宋"/>
          <w:b/>
          <w:sz w:val="48"/>
          <w:szCs w:val="48"/>
        </w:rPr>
        <w:t>证券行业促进乡村振兴公益行动</w:t>
      </w:r>
    </w:p>
    <w:p>
      <w:pPr>
        <w:jc w:val="center"/>
        <w:rPr>
          <w:rFonts w:hAnsi="华文中宋" w:eastAsia="华文中宋"/>
          <w:b/>
          <w:sz w:val="48"/>
          <w:szCs w:val="48"/>
        </w:rPr>
      </w:pPr>
      <w:r>
        <w:rPr>
          <w:rFonts w:eastAsia="华文中宋"/>
          <w:b/>
          <w:sz w:val="48"/>
          <w:szCs w:val="48"/>
        </w:rPr>
        <w:t>20</w:t>
      </w:r>
      <w:r>
        <w:rPr>
          <w:rFonts w:hint="eastAsia" w:eastAsia="华文中宋"/>
          <w:b/>
          <w:sz w:val="48"/>
          <w:szCs w:val="48"/>
        </w:rPr>
        <w:t>22</w:t>
      </w:r>
      <w:r>
        <w:rPr>
          <w:rFonts w:hAnsi="华文中宋" w:eastAsia="华文中宋"/>
          <w:b/>
          <w:sz w:val="48"/>
          <w:szCs w:val="48"/>
        </w:rPr>
        <w:t>年</w:t>
      </w:r>
      <w:r>
        <w:rPr>
          <w:rFonts w:hint="eastAsia" w:hAnsi="华文中宋" w:eastAsia="华文中宋"/>
          <w:b/>
          <w:sz w:val="48"/>
          <w:szCs w:val="48"/>
        </w:rPr>
        <w:t>县域经济调研报告</w:t>
      </w:r>
    </w:p>
    <w:p>
      <w:pPr>
        <w:rPr>
          <w:rFonts w:ascii="宋体" w:hAnsi="宋体"/>
          <w:sz w:val="32"/>
        </w:rPr>
      </w:pPr>
    </w:p>
    <w:p>
      <w:pPr>
        <w:ind w:left="2656" w:leftChars="653" w:hanging="1285" w:hangingChars="400"/>
        <w:rPr>
          <w:rFonts w:ascii="仿宋_GB2312" w:hAnsi="宋体" w:eastAsia="仿宋_GB2312"/>
          <w:b/>
          <w:sz w:val="32"/>
          <w:u w:val="single"/>
        </w:rPr>
      </w:pPr>
      <w:r>
        <w:rPr>
          <w:rFonts w:hint="eastAsia" w:ascii="仿宋_GB2312" w:hAnsi="宋体" w:eastAsia="仿宋_GB2312"/>
          <w:b/>
          <w:sz w:val="32"/>
        </w:rPr>
        <w:t>报告名称：</w:t>
      </w:r>
      <w:r>
        <w:rPr>
          <w:rFonts w:ascii="仿宋_GB2312" w:hAnsi="宋体" w:eastAsia="仿宋_GB2312"/>
          <w:b/>
          <w:sz w:val="32"/>
          <w:u w:val="single"/>
        </w:rPr>
        <w:t xml:space="preserve"> </w:t>
      </w:r>
      <w:r>
        <w:rPr>
          <w:rFonts w:hint="eastAsia" w:ascii="仿宋_GB2312" w:hAnsi="宋体" w:eastAsia="仿宋_GB2312"/>
          <w:b/>
          <w:sz w:val="32"/>
          <w:u w:val="single"/>
        </w:rPr>
        <w:t>美丽中国</w:t>
      </w:r>
      <w:r>
        <w:rPr>
          <w:rFonts w:hint="eastAsia" w:ascii="微软雅黑" w:hAnsi="微软雅黑" w:eastAsia="微软雅黑" w:cs="微软雅黑"/>
          <w:b/>
          <w:sz w:val="32"/>
          <w:u w:val="single"/>
        </w:rPr>
        <w:t>•</w:t>
      </w:r>
      <w:r>
        <w:rPr>
          <w:rFonts w:hint="eastAsia" w:ascii="仿宋" w:hAnsi="仿宋" w:eastAsia="仿宋" w:cs="仿宋"/>
          <w:b/>
          <w:sz w:val="32"/>
          <w:u w:val="single"/>
        </w:rPr>
        <w:t>乡村振兴进行时-</w:t>
      </w:r>
      <w:r>
        <w:rPr>
          <w:rFonts w:hint="eastAsia" w:ascii="仿宋_GB2312" w:hAnsi="宋体" w:eastAsia="仿宋_GB2312"/>
          <w:b/>
          <w:sz w:val="32"/>
          <w:u w:val="single"/>
        </w:rPr>
        <w:t>安徽金寨</w:t>
      </w:r>
    </w:p>
    <w:p>
      <w:pPr>
        <w:ind w:left="2211" w:leftChars="1053" w:firstLine="643" w:firstLineChars="200"/>
        <w:rPr>
          <w:rFonts w:ascii="仿宋_GB2312" w:hAnsi="宋体" w:eastAsia="仿宋_GB2312"/>
          <w:sz w:val="32"/>
          <w:u w:val="single"/>
        </w:rPr>
      </w:pPr>
      <w:r>
        <w:rPr>
          <w:rFonts w:hint="eastAsia" w:ascii="仿宋_GB2312" w:hAnsi="宋体" w:eastAsia="仿宋_GB2312"/>
          <w:b/>
          <w:sz w:val="32"/>
          <w:u w:val="single"/>
        </w:rPr>
        <w:t>县经济调研报告</w:t>
      </w:r>
      <w:r>
        <w:rPr>
          <w:rFonts w:ascii="仿宋_GB2312" w:hAnsi="宋体" w:eastAsia="仿宋_GB2312"/>
          <w:sz w:val="32"/>
          <w:u w:val="single"/>
        </w:rPr>
        <w:t xml:space="preserve"> </w:t>
      </w:r>
    </w:p>
    <w:p>
      <w:pPr>
        <w:rPr>
          <w:rFonts w:ascii="仿宋_GB2312" w:hAnsi="宋体" w:eastAsia="仿宋_GB2312"/>
          <w:sz w:val="32"/>
        </w:rPr>
      </w:pPr>
    </w:p>
    <w:p>
      <w:pPr>
        <w:ind w:firstLine="1455" w:firstLineChars="453"/>
        <w:rPr>
          <w:rFonts w:ascii="仿宋_GB2312" w:hAnsi="宋体" w:eastAsia="仿宋_GB2312"/>
          <w:sz w:val="32"/>
          <w:u w:val="single"/>
        </w:rPr>
      </w:pPr>
      <w:r>
        <w:rPr>
          <w:rFonts w:hint="eastAsia" w:ascii="仿宋_GB2312" w:hAnsi="宋体" w:eastAsia="仿宋_GB2312"/>
          <w:b/>
          <w:sz w:val="32"/>
        </w:rPr>
        <w:t>调研县域:</w:t>
      </w:r>
      <w:r>
        <w:rPr>
          <w:rFonts w:hint="eastAsia" w:ascii="仿宋_GB2312" w:hAnsi="宋体" w:eastAsia="仿宋_GB2312"/>
          <w:sz w:val="32"/>
        </w:rPr>
        <w:t xml:space="preserve"> </w:t>
      </w:r>
      <w:r>
        <w:rPr>
          <w:rFonts w:ascii="仿宋_GB2312" w:hAnsi="宋体" w:eastAsia="仿宋_GB2312"/>
          <w:sz w:val="32"/>
          <w:u w:val="single"/>
        </w:rPr>
        <w:t xml:space="preserve"> </w:t>
      </w:r>
      <w:r>
        <w:rPr>
          <w:rFonts w:hint="eastAsia" w:ascii="仿宋_GB2312" w:hAnsi="宋体" w:eastAsia="仿宋_GB2312"/>
          <w:b/>
          <w:sz w:val="32"/>
          <w:u w:val="single"/>
        </w:rPr>
        <w:t>安徽</w:t>
      </w:r>
      <w:r>
        <w:rPr>
          <w:rFonts w:ascii="仿宋_GB2312" w:hAnsi="宋体" w:eastAsia="仿宋_GB2312"/>
          <w:b/>
          <w:sz w:val="32"/>
          <w:u w:val="single"/>
        </w:rPr>
        <w:t>省</w:t>
      </w:r>
      <w:r>
        <w:rPr>
          <w:rFonts w:hint="eastAsia" w:ascii="仿宋_GB2312" w:hAnsi="宋体" w:eastAsia="仿宋_GB2312"/>
          <w:b/>
          <w:sz w:val="32"/>
          <w:u w:val="single"/>
          <w:lang w:val="en-US" w:eastAsia="zh-CN"/>
        </w:rPr>
        <w:t>金寨</w:t>
      </w:r>
      <w:r>
        <w:rPr>
          <w:rFonts w:ascii="仿宋_GB2312" w:hAnsi="宋体" w:eastAsia="仿宋_GB2312"/>
          <w:b/>
          <w:sz w:val="32"/>
          <w:u w:val="single"/>
        </w:rPr>
        <w:t>县</w:t>
      </w:r>
      <w:r>
        <w:rPr>
          <w:rFonts w:ascii="仿宋_GB2312" w:hAnsi="宋体" w:eastAsia="仿宋_GB2312"/>
          <w:sz w:val="32"/>
          <w:u w:val="single"/>
        </w:rPr>
        <w:t xml:space="preserve">                  </w:t>
      </w:r>
    </w:p>
    <w:p>
      <w:pPr>
        <w:ind w:firstLine="1449" w:firstLineChars="453"/>
        <w:rPr>
          <w:rFonts w:ascii="仿宋_GB2312" w:hAnsi="宋体" w:eastAsia="仿宋_GB2312"/>
          <w:sz w:val="32"/>
          <w:u w:val="single"/>
        </w:rPr>
      </w:pPr>
    </w:p>
    <w:p>
      <w:pPr>
        <w:ind w:firstLine="1455" w:firstLineChars="453"/>
        <w:rPr>
          <w:rFonts w:ascii="仿宋_GB2312" w:hAnsi="宋体" w:eastAsia="仿宋_GB2312"/>
          <w:b/>
          <w:sz w:val="32"/>
          <w:u w:val="single"/>
        </w:rPr>
      </w:pPr>
      <w:r>
        <w:rPr>
          <w:rFonts w:hint="eastAsia" w:ascii="仿宋_GB2312" w:hAnsi="宋体" w:eastAsia="仿宋_GB2312"/>
          <w:b/>
          <w:sz w:val="32"/>
        </w:rPr>
        <w:t xml:space="preserve">牵头调研单位: </w:t>
      </w:r>
      <w:r>
        <w:rPr>
          <w:rFonts w:ascii="仿宋_GB2312" w:hAnsi="宋体" w:eastAsia="仿宋_GB2312"/>
          <w:b/>
          <w:sz w:val="32"/>
          <w:u w:val="single"/>
        </w:rPr>
        <w:t xml:space="preserve"> </w:t>
      </w:r>
      <w:r>
        <w:rPr>
          <w:rFonts w:hint="eastAsia" w:ascii="仿宋_GB2312" w:hAnsi="宋体" w:eastAsia="仿宋_GB2312"/>
          <w:b/>
          <w:sz w:val="32"/>
          <w:u w:val="single"/>
        </w:rPr>
        <w:t>华泰证券股份有限公司</w:t>
      </w:r>
      <w:r>
        <w:rPr>
          <w:rFonts w:ascii="仿宋_GB2312" w:hAnsi="宋体" w:eastAsia="仿宋_GB2312"/>
          <w:b/>
          <w:sz w:val="32"/>
          <w:u w:val="single"/>
        </w:rPr>
        <w:t xml:space="preserve">      </w:t>
      </w:r>
    </w:p>
    <w:p>
      <w:pPr>
        <w:rPr>
          <w:rFonts w:ascii="仿宋_GB2312" w:hAnsi="宋体" w:eastAsia="仿宋_GB2312"/>
          <w:sz w:val="32"/>
          <w:u w:val="single"/>
        </w:rPr>
      </w:pPr>
    </w:p>
    <w:p>
      <w:pPr>
        <w:ind w:firstLine="1455" w:firstLineChars="453"/>
        <w:rPr>
          <w:rFonts w:ascii="仿宋_GB2312" w:hAnsi="宋体" w:eastAsia="仿宋_GB2312"/>
          <w:b/>
          <w:sz w:val="32"/>
          <w:u w:val="single"/>
        </w:rPr>
      </w:pPr>
      <w:r>
        <w:rPr>
          <w:rFonts w:hint="eastAsia" w:ascii="仿宋_GB2312" w:hAnsi="宋体" w:eastAsia="仿宋_GB2312"/>
          <w:b/>
          <w:sz w:val="32"/>
        </w:rPr>
        <w:t xml:space="preserve">联合调研单位: </w:t>
      </w:r>
      <w:r>
        <w:rPr>
          <w:rFonts w:ascii="仿宋_GB2312" w:hAnsi="宋体" w:eastAsia="仿宋_GB2312"/>
          <w:b/>
          <w:sz w:val="32"/>
          <w:u w:val="single"/>
        </w:rPr>
        <w:t xml:space="preserve"> </w:t>
      </w:r>
      <w:r>
        <w:rPr>
          <w:rFonts w:hint="eastAsia" w:ascii="仿宋_GB2312" w:hAnsi="宋体" w:eastAsia="仿宋_GB2312"/>
          <w:b/>
          <w:sz w:val="32"/>
          <w:u w:val="single"/>
        </w:rPr>
        <w:t>华泰联合证券有限责任公司</w:t>
      </w:r>
      <w:r>
        <w:rPr>
          <w:rFonts w:ascii="仿宋_GB2312" w:hAnsi="宋体" w:eastAsia="仿宋_GB2312"/>
          <w:b/>
          <w:sz w:val="32"/>
          <w:u w:val="single"/>
        </w:rPr>
        <w:t xml:space="preserve">  </w:t>
      </w:r>
    </w:p>
    <w:p>
      <w:pPr>
        <w:ind w:firstLine="1449" w:firstLineChars="453"/>
        <w:rPr>
          <w:rFonts w:ascii="仿宋_GB2312" w:hAnsi="宋体" w:eastAsia="仿宋_GB2312"/>
          <w:sz w:val="32"/>
        </w:rPr>
      </w:pPr>
    </w:p>
    <w:p>
      <w:pPr>
        <w:ind w:firstLine="1455" w:firstLineChars="453"/>
        <w:rPr>
          <w:rFonts w:ascii="仿宋_GB2312" w:hAnsi="宋体" w:eastAsia="仿宋_GB2312"/>
          <w:b/>
          <w:sz w:val="32"/>
          <w:u w:val="single"/>
        </w:rPr>
      </w:pPr>
      <w:r>
        <w:rPr>
          <w:rFonts w:hint="eastAsia" w:ascii="仿宋_GB2312" w:hAnsi="宋体" w:eastAsia="仿宋_GB2312"/>
          <w:b/>
          <w:sz w:val="32"/>
        </w:rPr>
        <w:t>调研组负责人:</w:t>
      </w:r>
      <w:r>
        <w:rPr>
          <w:rFonts w:ascii="仿宋_GB2312" w:hAnsi="宋体" w:eastAsia="仿宋_GB2312"/>
          <w:b/>
          <w:sz w:val="32"/>
        </w:rPr>
        <w:t xml:space="preserve"> </w:t>
      </w:r>
      <w:r>
        <w:rPr>
          <w:rFonts w:ascii="仿宋_GB2312" w:hAnsi="宋体" w:eastAsia="仿宋_GB2312"/>
          <w:b/>
          <w:sz w:val="32"/>
          <w:u w:val="single"/>
        </w:rPr>
        <w:t xml:space="preserve"> </w:t>
      </w:r>
      <w:r>
        <w:rPr>
          <w:rFonts w:hint="eastAsia" w:ascii="仿宋_GB2312" w:hAnsi="宋体" w:eastAsia="仿宋_GB2312"/>
          <w:b/>
          <w:sz w:val="32"/>
          <w:u w:val="single"/>
        </w:rPr>
        <w:t>许愿</w:t>
      </w:r>
      <w:r>
        <w:rPr>
          <w:rFonts w:ascii="仿宋_GB2312" w:hAnsi="宋体" w:eastAsia="仿宋_GB2312"/>
          <w:b/>
          <w:sz w:val="32"/>
          <w:u w:val="single"/>
        </w:rPr>
        <w:t xml:space="preserve">                      </w:t>
      </w:r>
    </w:p>
    <w:p>
      <w:pPr>
        <w:rPr>
          <w:rFonts w:ascii="仿宋_GB2312" w:hAnsi="宋体" w:eastAsia="仿宋_GB2312"/>
          <w:sz w:val="32"/>
          <w:u w:val="single"/>
        </w:rPr>
      </w:pPr>
    </w:p>
    <w:p>
      <w:pPr>
        <w:ind w:firstLine="1455" w:firstLineChars="453"/>
        <w:rPr>
          <w:rFonts w:ascii="宋体" w:hAnsi="宋体"/>
          <w:sz w:val="32"/>
        </w:rPr>
      </w:pPr>
      <w:r>
        <w:rPr>
          <w:rFonts w:hint="eastAsia" w:ascii="仿宋_GB2312" w:hAnsi="宋体" w:eastAsia="仿宋_GB2312"/>
          <w:b/>
          <w:sz w:val="32"/>
        </w:rPr>
        <w:t xml:space="preserve">调研组成员: </w:t>
      </w:r>
      <w:r>
        <w:rPr>
          <w:rFonts w:hint="eastAsia" w:ascii="仿宋_GB2312" w:hAnsi="宋体" w:eastAsia="仿宋_GB2312"/>
          <w:b/>
          <w:sz w:val="32"/>
          <w:u w:val="single"/>
        </w:rPr>
        <w:t xml:space="preserve">冯娟、胡金有、姜海洋、张浩   </w:t>
      </w:r>
    </w:p>
    <w:p>
      <w:pPr>
        <w:spacing w:line="225" w:lineRule="atLeast"/>
        <w:jc w:val="center"/>
        <w:rPr>
          <w:rFonts w:ascii="仿宋_GB2312" w:eastAsia="仿宋_GB2312"/>
          <w:b/>
          <w:sz w:val="32"/>
          <w:szCs w:val="32"/>
        </w:rPr>
      </w:pPr>
    </w:p>
    <w:p>
      <w:pPr>
        <w:spacing w:line="225" w:lineRule="atLeast"/>
        <w:jc w:val="center"/>
        <w:rPr>
          <w:rFonts w:ascii="仿宋_GB2312" w:eastAsia="仿宋_GB2312"/>
          <w:b/>
          <w:sz w:val="32"/>
          <w:szCs w:val="32"/>
        </w:rPr>
      </w:pPr>
    </w:p>
    <w:p>
      <w:pPr>
        <w:spacing w:line="225" w:lineRule="atLeast"/>
        <w:jc w:val="center"/>
        <w:rPr>
          <w:rFonts w:ascii="仿宋_GB2312" w:hAnsi="宋体" w:eastAsia="仿宋_GB2312"/>
          <w:b/>
          <w:sz w:val="32"/>
          <w:szCs w:val="32"/>
        </w:rPr>
      </w:pPr>
      <w:r>
        <w:rPr>
          <w:rFonts w:hint="eastAsia" w:ascii="仿宋_GB2312" w:eastAsia="仿宋_GB2312"/>
          <w:b/>
          <w:sz w:val="32"/>
          <w:szCs w:val="32"/>
        </w:rPr>
        <w:t>中国证券业协会</w:t>
      </w:r>
    </w:p>
    <w:p>
      <w:pPr>
        <w:jc w:val="center"/>
      </w:pPr>
      <w:r>
        <w:rPr>
          <w:rFonts w:hint="eastAsia" w:ascii="仿宋_GB2312" w:eastAsia="仿宋_GB2312"/>
          <w:b/>
          <w:sz w:val="32"/>
          <w:szCs w:val="32"/>
        </w:rPr>
        <w:t>2022年8月</w:t>
      </w:r>
    </w:p>
    <w:p/>
    <w:p>
      <w:pPr>
        <w:tabs>
          <w:tab w:val="left" w:pos="1710"/>
        </w:tabs>
      </w:pPr>
      <w:r>
        <w:tab/>
      </w:r>
    </w:p>
    <w:p/>
    <w:p>
      <w:pPr>
        <w:adjustRightInd w:val="0"/>
        <w:snapToGrid w:val="0"/>
        <w:spacing w:line="540" w:lineRule="atLeast"/>
        <w:jc w:val="center"/>
        <w:rPr>
          <w:rFonts w:ascii="微软雅黑" w:hAnsi="微软雅黑" w:eastAsia="微软雅黑"/>
          <w:sz w:val="24"/>
          <w:szCs w:val="24"/>
        </w:rPr>
      </w:pPr>
      <w:r>
        <w:rPr>
          <w:rFonts w:hint="eastAsia" w:ascii="黑体" w:hAnsi="黑体" w:eastAsia="黑体"/>
          <w:sz w:val="30"/>
          <w:szCs w:val="30"/>
        </w:rPr>
        <w:t>摘 要</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面对当前全球新冠肺炎疫情蔓延，世界经济复苏脆弱，气候变化挑战突出的宏观局面，我国经济社会发展的各项任务也面临着极为繁重艰巨的挑战。2021年底，国务院印发了《“十四五”推进农业农村现代化规划》，规划明确聚焦七个方面重点任务，即提升粮食等重要农产品供给保障水平，提升农业质量效益和竞争力，提升产业链供应链现代化水平，建设宜居宜业乡村，建设绿色美丽乡村，建设文明和谐乡村，巩固拓展脱贫攻坚成果、有效衔接全面推进乡村振兴。</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2022年，中央一号文件《中共中央国务院关于做好2022年全面推进乡村振兴重点工作的意见》再次重点指出，要从容应对百年变局和世纪疫情，推动经济社会平稳健康发展，必须着眼国家重大战略需要，稳住农业基本盘，锚定乡村振兴的总体目标。坚持稳字当头、稳中求进，牢牢守住保障国家粮食安全和不发生规模性返贫两条底线，扎实有序做好乡村发展、乡村建设、乡村治理这三个重点工作，在坚持和加强党对“三农”工作的全面领导下确保农业稳产增产、农民稳步增收、农村稳定安宁，推动乡村振兴取得新进展、农业农村现代化迈出新步伐。</w:t>
      </w: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迈进“十四五”规划开局之年，安徽省全省人民昂扬奋进，隆重庆祝中国共产党成立100周年，全面建成小康社会，踏上了向第二个百年奋斗目标进军的新征程。位于皖西的六安市，积极发扬团结拼搏、真抓实干的精神，实现了“十四五”良好开局，主要经济指标增幅在全省位次创历史最好水平。通过抓产业促升级、抓投资强后劲、抓创新添活力、抓治理优生态、抓城乡提品质、抓民生增福祉等六项重要举措，创造了生产总值增长11%，居全省第二；一般公共预算收入增长11%，居全省第三；固定资产投资增长19.7%，居全省第一；规上工业增加值增长15.5%，居全省第三；社会消费品零售总额增长23.6%，居全省第三的好成绩。</w:t>
      </w:r>
    </w:p>
    <w:p>
      <w:pPr>
        <w:adjustRightInd w:val="0"/>
        <w:snapToGrid w:val="0"/>
        <w:spacing w:line="440" w:lineRule="exact"/>
        <w:ind w:firstLine="480" w:firstLineChars="200"/>
        <w:rPr>
          <w:rFonts w:ascii="微软雅黑" w:hAnsi="微软雅黑" w:eastAsia="微软雅黑"/>
          <w:sz w:val="24"/>
          <w:szCs w:val="24"/>
        </w:rPr>
      </w:pPr>
      <w:r>
        <w:rPr>
          <w:rFonts w:hint="eastAsia" w:ascii="宋体" w:hAnsi="宋体"/>
          <w:sz w:val="24"/>
          <w:szCs w:val="24"/>
        </w:rPr>
        <w:t>在全面落实中央和地方政府的决策部署之下，于2020年正式退出贫困县序列的六安市金寨县也持续不断地取得了乡村振兴的新进展。经过上一个五年的砥砺前行，金寨县实现了综合实力的大幅提升，各项经济指标不断增长，城镇和农村居民生活水平显著改善，成功创建国家全域旅游示范区，跻身国家生态文明建设示范区，争创第六届全国文明城市。本文将从金寨县县域发展情况入手，通过分析新时期新征程下该县适宜的新发展路线，最终为金寨县未来的乡村振兴发展提出相关意见及建议。</w:t>
      </w:r>
    </w:p>
    <w:p>
      <w:pPr>
        <w:adjustRightInd w:val="0"/>
        <w:snapToGrid w:val="0"/>
        <w:spacing w:line="440" w:lineRule="exact"/>
        <w:ind w:firstLine="480" w:firstLineChars="200"/>
        <w:rPr>
          <w:rFonts w:ascii="微软雅黑" w:hAnsi="微软雅黑" w:eastAsia="微软雅黑"/>
          <w:sz w:val="24"/>
          <w:szCs w:val="24"/>
        </w:rPr>
      </w:pPr>
    </w:p>
    <w:p>
      <w:pPr>
        <w:adjustRightInd w:val="0"/>
        <w:snapToGrid w:val="0"/>
        <w:spacing w:line="440" w:lineRule="exact"/>
        <w:ind w:firstLine="482" w:firstLineChars="200"/>
        <w:rPr>
          <w:rFonts w:ascii="微软雅黑" w:hAnsi="微软雅黑" w:eastAsia="微软雅黑"/>
          <w:sz w:val="24"/>
          <w:szCs w:val="24"/>
        </w:rPr>
      </w:pPr>
      <w:r>
        <w:rPr>
          <w:rFonts w:hint="eastAsia" w:ascii="宋体" w:hAnsi="宋体"/>
          <w:b/>
          <w:bCs/>
          <w:sz w:val="24"/>
        </w:rPr>
        <w:t>关键词</w:t>
      </w:r>
      <w:r>
        <w:rPr>
          <w:rFonts w:hint="eastAsia" w:ascii="宋体" w:hAnsi="宋体"/>
          <w:sz w:val="24"/>
        </w:rPr>
        <w:t>：乡村振兴；新发展路线；传承红色精神</w:t>
      </w:r>
    </w:p>
    <w:p>
      <w:pPr>
        <w:adjustRightInd w:val="0"/>
        <w:snapToGrid w:val="0"/>
        <w:spacing w:line="540" w:lineRule="atLeast"/>
        <w:ind w:firstLine="480" w:firstLineChars="200"/>
        <w:rPr>
          <w:rFonts w:ascii="微软雅黑" w:hAnsi="微软雅黑" w:eastAsia="微软雅黑"/>
          <w:sz w:val="24"/>
          <w:szCs w:val="24"/>
        </w:rPr>
      </w:pPr>
    </w:p>
    <w:sdt>
      <w:sdtPr>
        <w:rPr>
          <w:rFonts w:ascii="Calibri" w:hAnsi="Calibri" w:eastAsia="宋体" w:cs="Times New Roman"/>
          <w:color w:val="auto"/>
          <w:kern w:val="2"/>
          <w:sz w:val="21"/>
          <w:szCs w:val="22"/>
          <w:lang w:val="zh-CN"/>
        </w:rPr>
        <w:id w:val="691806012"/>
        <w:docPartObj>
          <w:docPartGallery w:val="Table of Contents"/>
          <w:docPartUnique/>
        </w:docPartObj>
      </w:sdtPr>
      <w:sdtEndPr>
        <w:rPr>
          <w:rFonts w:ascii="宋体" w:hAnsi="宋体" w:eastAsia="宋体" w:cs="Times New Roman"/>
          <w:b/>
          <w:bCs/>
          <w:color w:val="auto"/>
          <w:kern w:val="2"/>
          <w:sz w:val="28"/>
          <w:szCs w:val="28"/>
          <w:lang w:val="zh-CN"/>
        </w:rPr>
      </w:sdtEndPr>
      <w:sdtContent>
        <w:p>
          <w:pPr>
            <w:pStyle w:val="283"/>
            <w:jc w:val="center"/>
            <w:rPr>
              <w:rFonts w:ascii="黑体" w:hAnsi="黑体" w:eastAsia="黑体"/>
              <w:color w:val="auto"/>
              <w:sz w:val="28"/>
              <w:szCs w:val="28"/>
            </w:rPr>
          </w:pPr>
          <w:r>
            <w:rPr>
              <w:rFonts w:hint="eastAsia" w:ascii="黑体" w:hAnsi="黑体" w:eastAsia="黑体"/>
              <w:color w:val="auto"/>
              <w:sz w:val="28"/>
              <w:szCs w:val="28"/>
            </w:rPr>
            <w:t>目录</w:t>
          </w:r>
        </w:p>
        <w:p>
          <w:pPr>
            <w:pStyle w:val="16"/>
            <w:tabs>
              <w:tab w:val="right" w:leader="dot" w:pos="8505"/>
              <w:tab w:val="left" w:pos="8647"/>
              <w:tab w:val="left" w:pos="8789"/>
              <w:tab w:val="clear" w:pos="6482"/>
            </w:tabs>
            <w:rPr>
              <w:rFonts w:ascii="宋体" w:eastAsia="宋体" w:cstheme="minorBidi"/>
              <w:b w:val="0"/>
            </w:rPr>
          </w:pPr>
          <w:r>
            <w:rPr>
              <w:rFonts w:ascii="宋体" w:eastAsia="宋体"/>
            </w:rPr>
            <w:fldChar w:fldCharType="begin"/>
          </w:r>
          <w:r>
            <w:rPr>
              <w:rFonts w:ascii="宋体" w:eastAsia="宋体"/>
            </w:rPr>
            <w:instrText xml:space="preserve"> TOC \o "1-3" \h \z \u </w:instrText>
          </w:r>
          <w:r>
            <w:rPr>
              <w:rFonts w:ascii="宋体" w:eastAsia="宋体"/>
            </w:rPr>
            <w:fldChar w:fldCharType="separate"/>
          </w:r>
          <w:r>
            <w:fldChar w:fldCharType="begin"/>
          </w:r>
          <w:r>
            <w:instrText xml:space="preserve"> HYPERLINK \l "_Toc113029561" </w:instrText>
          </w:r>
          <w:r>
            <w:fldChar w:fldCharType="separate"/>
          </w:r>
          <w:r>
            <w:rPr>
              <w:rStyle w:val="30"/>
              <w:rFonts w:ascii="宋体" w:eastAsia="宋体"/>
            </w:rPr>
            <w:t>第一章  调研县域发展现状</w:t>
          </w:r>
          <w:r>
            <w:rPr>
              <w:rFonts w:ascii="宋体" w:eastAsia="宋体"/>
            </w:rPr>
            <w:tab/>
          </w:r>
          <w:r>
            <w:rPr>
              <w:rFonts w:ascii="宋体" w:eastAsia="宋体"/>
            </w:rPr>
            <w:fldChar w:fldCharType="begin"/>
          </w:r>
          <w:r>
            <w:rPr>
              <w:rFonts w:ascii="宋体" w:eastAsia="宋体"/>
            </w:rPr>
            <w:instrText xml:space="preserve"> PAGEREF _Toc113029561 \h </w:instrText>
          </w:r>
          <w:r>
            <w:rPr>
              <w:rFonts w:ascii="宋体" w:eastAsia="宋体"/>
            </w:rPr>
            <w:fldChar w:fldCharType="separate"/>
          </w:r>
          <w:r>
            <w:rPr>
              <w:rFonts w:ascii="宋体" w:eastAsia="宋体"/>
            </w:rPr>
            <w:t>1</w:t>
          </w:r>
          <w:r>
            <w:rPr>
              <w:rFonts w:ascii="宋体" w:eastAsia="宋体"/>
            </w:rPr>
            <w:fldChar w:fldCharType="end"/>
          </w:r>
          <w:r>
            <w:rPr>
              <w:rFonts w:ascii="宋体" w:eastAsia="宋体"/>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"_Toc113029562" </w:instrText>
          </w:r>
          <w:r>
            <w:fldChar w:fldCharType="separate"/>
          </w:r>
          <w:r>
            <w:rPr>
              <w:rStyle w:val="30"/>
              <w:rFonts w:ascii="宋体" w:hAnsi="宋体" w:eastAsia="宋体"/>
              <w:sz w:val="28"/>
              <w:szCs w:val="28"/>
            </w:rPr>
            <w:t>一、金寨县经济发展情况</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_Toc113029562 \h </w:instrText>
          </w:r>
          <w:r>
            <w:rPr>
              <w:rFonts w:ascii="宋体" w:hAnsi="宋体" w:eastAsia="宋体"/>
              <w:sz w:val="28"/>
              <w:szCs w:val="28"/>
            </w:rPr>
            <w:fldChar w:fldCharType="separate"/>
          </w:r>
          <w:r>
            <w:rPr>
              <w:rFonts w:ascii="宋体" w:hAnsi="宋体" w:eastAsia="宋体"/>
              <w:sz w:val="28"/>
              <w:szCs w:val="28"/>
            </w:rPr>
            <w:t>1</w:t>
          </w:r>
          <w:r>
            <w:rPr>
              <w:rFonts w:ascii="宋体" w:hAnsi="宋体" w:eastAsia="宋体"/>
              <w:sz w:val="28"/>
              <w:szCs w:val="28"/>
            </w:rPr>
            <w:fldChar w:fldCharType="end"/>
          </w:r>
          <w:r>
            <w:rPr>
              <w:rFonts w:ascii="宋体" w:hAnsi="宋体" w:eastAsia="宋体"/>
              <w:sz w:val="28"/>
              <w:szCs w:val="28"/>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"_Toc113029563" </w:instrText>
          </w:r>
          <w:r>
            <w:fldChar w:fldCharType="separate"/>
          </w:r>
          <w:r>
            <w:rPr>
              <w:rStyle w:val="30"/>
              <w:rFonts w:ascii="宋体" w:hAnsi="宋体" w:eastAsia="宋体"/>
              <w:sz w:val="28"/>
              <w:szCs w:val="28"/>
            </w:rPr>
            <w:t>二、 金寨县振兴现状、愿景及挑战</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_Toc113029563 \h </w:instrText>
          </w:r>
          <w:r>
            <w:rPr>
              <w:rFonts w:ascii="宋体" w:hAnsi="宋体" w:eastAsia="宋体"/>
              <w:sz w:val="28"/>
              <w:szCs w:val="28"/>
            </w:rPr>
            <w:fldChar w:fldCharType="separate"/>
          </w:r>
          <w:r>
            <w:rPr>
              <w:rFonts w:ascii="宋体" w:hAnsi="宋体" w:eastAsia="宋体"/>
              <w:sz w:val="28"/>
              <w:szCs w:val="28"/>
            </w:rPr>
            <w:t>2</w:t>
          </w:r>
          <w:r>
            <w:rPr>
              <w:rFonts w:ascii="宋体" w:hAnsi="宋体" w:eastAsia="宋体"/>
              <w:sz w:val="28"/>
              <w:szCs w:val="28"/>
            </w:rPr>
            <w:fldChar w:fldCharType="end"/>
          </w:r>
          <w:r>
            <w:rPr>
              <w:rFonts w:ascii="宋体" w:hAnsi="宋体" w:eastAsia="宋体"/>
              <w:sz w:val="28"/>
              <w:szCs w:val="28"/>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"_Toc113029564" </w:instrText>
          </w:r>
          <w:r>
            <w:fldChar w:fldCharType="separate"/>
          </w:r>
          <w:r>
            <w:rPr>
              <w:rStyle w:val="30"/>
              <w:rFonts w:ascii="宋体" w:hAnsi="宋体" w:eastAsia="宋体"/>
              <w:sz w:val="28"/>
              <w:szCs w:val="28"/>
            </w:rPr>
            <w:t>三、 金寨县2022年及未来五年经济发展目标</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_Toc113029564 \h </w:instrText>
          </w:r>
          <w:r>
            <w:rPr>
              <w:rFonts w:ascii="宋体" w:hAnsi="宋体" w:eastAsia="宋体"/>
              <w:sz w:val="28"/>
              <w:szCs w:val="28"/>
            </w:rPr>
            <w:fldChar w:fldCharType="separate"/>
          </w:r>
          <w:r>
            <w:rPr>
              <w:rFonts w:ascii="宋体" w:hAnsi="宋体" w:eastAsia="宋体"/>
              <w:sz w:val="28"/>
              <w:szCs w:val="28"/>
            </w:rPr>
            <w:t>4</w:t>
          </w:r>
          <w:r>
            <w:rPr>
              <w:rFonts w:ascii="宋体" w:hAnsi="宋体" w:eastAsia="宋体"/>
              <w:sz w:val="28"/>
              <w:szCs w:val="28"/>
            </w:rPr>
            <w:fldChar w:fldCharType="end"/>
          </w:r>
          <w:r>
            <w:rPr>
              <w:rFonts w:ascii="宋体" w:hAnsi="宋体" w:eastAsia="宋体"/>
              <w:sz w:val="28"/>
              <w:szCs w:val="28"/>
            </w:rPr>
            <w:fldChar w:fldCharType="end"/>
          </w:r>
        </w:p>
        <w:p>
          <w:pPr>
            <w:pStyle w:val="16"/>
            <w:tabs>
              <w:tab w:val="right" w:leader="dot" w:pos="8647"/>
              <w:tab w:val="clear" w:pos="6482"/>
            </w:tabs>
            <w:rPr>
              <w:rFonts w:ascii="宋体" w:eastAsia="宋体" w:cstheme="minorBidi"/>
              <w:b w:val="0"/>
            </w:rPr>
          </w:pPr>
          <w:r>
            <w:fldChar w:fldCharType="begin"/>
          </w:r>
          <w:r>
            <w:instrText xml:space="preserve"> HYPERLINK \l "_Toc113029565" </w:instrText>
          </w:r>
          <w:r>
            <w:fldChar w:fldCharType="separate"/>
          </w:r>
          <w:r>
            <w:rPr>
              <w:rStyle w:val="30"/>
              <w:rFonts w:ascii="宋体" w:eastAsia="宋体"/>
            </w:rPr>
            <w:t>第二章  新时期新征程新挑战下的新发展路线</w:t>
          </w:r>
          <w:r>
            <w:rPr>
              <w:rFonts w:ascii="宋体" w:eastAsia="宋体"/>
            </w:rPr>
            <w:tab/>
          </w:r>
          <w:r>
            <w:rPr>
              <w:rFonts w:ascii="宋体" w:eastAsia="宋体"/>
            </w:rPr>
            <w:fldChar w:fldCharType="begin"/>
          </w:r>
          <w:r>
            <w:rPr>
              <w:rFonts w:ascii="宋体" w:eastAsia="宋体"/>
            </w:rPr>
            <w:instrText xml:space="preserve"> PAGEREF _Toc113029565 \h </w:instrText>
          </w:r>
          <w:r>
            <w:rPr>
              <w:rFonts w:ascii="宋体" w:eastAsia="宋体"/>
            </w:rPr>
            <w:fldChar w:fldCharType="separate"/>
          </w:r>
          <w:r>
            <w:rPr>
              <w:rFonts w:ascii="宋体" w:eastAsia="宋体"/>
            </w:rPr>
            <w:t>5</w:t>
          </w:r>
          <w:r>
            <w:rPr>
              <w:rFonts w:ascii="宋体" w:eastAsia="宋体"/>
            </w:rPr>
            <w:fldChar w:fldCharType="end"/>
          </w:r>
          <w:r>
            <w:rPr>
              <w:rFonts w:ascii="宋体" w:eastAsia="宋体"/>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"_Toc113029566" </w:instrText>
          </w:r>
          <w:r>
            <w:fldChar w:fldCharType="separate"/>
          </w:r>
          <w:r>
            <w:rPr>
              <w:rStyle w:val="30"/>
              <w:rFonts w:ascii="宋体" w:hAnsi="宋体" w:eastAsia="宋体"/>
              <w:sz w:val="28"/>
              <w:szCs w:val="28"/>
            </w:rPr>
            <w:t>一、把握资源特色，争当旅游示范区模范</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_Toc113029566 \h </w:instrText>
          </w:r>
          <w:r>
            <w:rPr>
              <w:rFonts w:ascii="宋体" w:hAnsi="宋体" w:eastAsia="宋体"/>
              <w:sz w:val="28"/>
              <w:szCs w:val="28"/>
            </w:rPr>
            <w:fldChar w:fldCharType="separate"/>
          </w:r>
          <w:r>
            <w:rPr>
              <w:rFonts w:ascii="宋体" w:hAnsi="宋体" w:eastAsia="宋体"/>
              <w:sz w:val="28"/>
              <w:szCs w:val="28"/>
            </w:rPr>
            <w:t>5</w:t>
          </w:r>
          <w:r>
            <w:rPr>
              <w:rFonts w:ascii="宋体" w:hAnsi="宋体" w:eastAsia="宋体"/>
              <w:sz w:val="28"/>
              <w:szCs w:val="28"/>
            </w:rPr>
            <w:fldChar w:fldCharType="end"/>
          </w:r>
          <w:r>
            <w:rPr>
              <w:rFonts w:ascii="宋体" w:hAnsi="宋体" w:eastAsia="宋体"/>
              <w:sz w:val="28"/>
              <w:szCs w:val="28"/>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"_Toc113029567" </w:instrText>
          </w:r>
          <w:r>
            <w:fldChar w:fldCharType="separate"/>
          </w:r>
          <w:r>
            <w:rPr>
              <w:rStyle w:val="30"/>
              <w:rFonts w:ascii="宋体" w:hAnsi="宋体" w:eastAsia="宋体"/>
              <w:sz w:val="28"/>
              <w:szCs w:val="28"/>
            </w:rPr>
            <w:t>二、立足地域特色，加速发展现代农业</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_Toc113029567 \h </w:instrText>
          </w:r>
          <w:r>
            <w:rPr>
              <w:rFonts w:ascii="宋体" w:hAnsi="宋体" w:eastAsia="宋体"/>
              <w:sz w:val="28"/>
              <w:szCs w:val="28"/>
            </w:rPr>
            <w:fldChar w:fldCharType="separate"/>
          </w:r>
          <w:r>
            <w:rPr>
              <w:rFonts w:ascii="宋体" w:hAnsi="宋体" w:eastAsia="宋体"/>
              <w:sz w:val="28"/>
              <w:szCs w:val="28"/>
            </w:rPr>
            <w:t>6</w:t>
          </w:r>
          <w:r>
            <w:rPr>
              <w:rFonts w:ascii="宋体" w:hAnsi="宋体" w:eastAsia="宋体"/>
              <w:sz w:val="28"/>
              <w:szCs w:val="28"/>
            </w:rPr>
            <w:fldChar w:fldCharType="end"/>
          </w:r>
          <w:r>
            <w:rPr>
              <w:rFonts w:ascii="宋体" w:hAnsi="宋体" w:eastAsia="宋体"/>
              <w:sz w:val="28"/>
              <w:szCs w:val="28"/>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"_Toc113029568" </w:instrText>
          </w:r>
          <w:r>
            <w:fldChar w:fldCharType="separate"/>
          </w:r>
          <w:r>
            <w:rPr>
              <w:rStyle w:val="30"/>
              <w:rFonts w:ascii="宋体" w:hAnsi="宋体" w:eastAsia="宋体"/>
              <w:sz w:val="28"/>
              <w:szCs w:val="28"/>
            </w:rPr>
            <w:t>三、突出工业特色，壮强产业转型升级</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_Toc113029568 \h </w:instrText>
          </w:r>
          <w:r>
            <w:rPr>
              <w:rFonts w:ascii="宋体" w:hAnsi="宋体" w:eastAsia="宋体"/>
              <w:sz w:val="28"/>
              <w:szCs w:val="28"/>
            </w:rPr>
            <w:fldChar w:fldCharType="separate"/>
          </w:r>
          <w:r>
            <w:rPr>
              <w:rFonts w:ascii="宋体" w:hAnsi="宋体" w:eastAsia="宋体"/>
              <w:sz w:val="28"/>
              <w:szCs w:val="28"/>
            </w:rPr>
            <w:t>8</w:t>
          </w:r>
          <w:r>
            <w:rPr>
              <w:rFonts w:ascii="宋体" w:hAnsi="宋体" w:eastAsia="宋体"/>
              <w:sz w:val="28"/>
              <w:szCs w:val="28"/>
            </w:rPr>
            <w:fldChar w:fldCharType="end"/>
          </w:r>
          <w:r>
            <w:rPr>
              <w:rFonts w:ascii="宋体" w:hAnsi="宋体" w:eastAsia="宋体"/>
              <w:sz w:val="28"/>
              <w:szCs w:val="28"/>
            </w:rPr>
            <w:fldChar w:fldCharType="end"/>
          </w:r>
        </w:p>
        <w:p>
          <w:pPr>
            <w:pStyle w:val="16"/>
            <w:tabs>
              <w:tab w:val="right" w:leader="dot" w:pos="8647"/>
              <w:tab w:val="clear" w:pos="6482"/>
            </w:tabs>
            <w:rPr>
              <w:rFonts w:ascii="宋体" w:eastAsia="宋体" w:cstheme="minorBidi"/>
              <w:b w:val="0"/>
            </w:rPr>
          </w:pPr>
          <w:r>
            <w:fldChar w:fldCharType="begin"/>
          </w:r>
          <w:r>
            <w:instrText xml:space="preserve"> HYPERLINK \l "_Toc113029569" </w:instrText>
          </w:r>
          <w:r>
            <w:fldChar w:fldCharType="separate"/>
          </w:r>
          <w:r>
            <w:rPr>
              <w:rStyle w:val="30"/>
              <w:rFonts w:ascii="宋体" w:eastAsia="宋体"/>
            </w:rPr>
            <w:t>第三章  意见建议</w:t>
          </w:r>
          <w:r>
            <w:rPr>
              <w:rFonts w:ascii="宋体" w:eastAsia="宋体"/>
            </w:rPr>
            <w:tab/>
          </w:r>
          <w:r>
            <w:rPr>
              <w:rFonts w:ascii="宋体" w:eastAsia="宋体"/>
            </w:rPr>
            <w:fldChar w:fldCharType="begin"/>
          </w:r>
          <w:r>
            <w:rPr>
              <w:rFonts w:ascii="宋体" w:eastAsia="宋体"/>
            </w:rPr>
            <w:instrText xml:space="preserve"> PAGEREF _Toc113029569 \h </w:instrText>
          </w:r>
          <w:r>
            <w:rPr>
              <w:rFonts w:ascii="宋体" w:eastAsia="宋体"/>
            </w:rPr>
            <w:fldChar w:fldCharType="separate"/>
          </w:r>
          <w:r>
            <w:rPr>
              <w:rFonts w:ascii="宋体" w:eastAsia="宋体"/>
            </w:rPr>
            <w:t>9</w:t>
          </w:r>
          <w:r>
            <w:rPr>
              <w:rFonts w:ascii="宋体" w:eastAsia="宋体"/>
            </w:rPr>
            <w:fldChar w:fldCharType="end"/>
          </w:r>
          <w:r>
            <w:rPr>
              <w:rFonts w:ascii="宋体" w:eastAsia="宋体"/>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"_Toc113029570" </w:instrText>
          </w:r>
          <w:r>
            <w:fldChar w:fldCharType="separate"/>
          </w:r>
          <w:r>
            <w:rPr>
              <w:rStyle w:val="30"/>
              <w:rFonts w:ascii="宋体" w:hAnsi="宋体" w:eastAsia="宋体"/>
              <w:sz w:val="28"/>
              <w:szCs w:val="28"/>
            </w:rPr>
            <w:t>一、不忘初心，传承革命历史</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_Toc113029570 \h </w:instrText>
          </w:r>
          <w:r>
            <w:rPr>
              <w:rFonts w:ascii="宋体" w:hAnsi="宋体" w:eastAsia="宋体"/>
              <w:sz w:val="28"/>
              <w:szCs w:val="28"/>
            </w:rPr>
            <w:fldChar w:fldCharType="separate"/>
          </w:r>
          <w:r>
            <w:rPr>
              <w:rFonts w:ascii="宋体" w:hAnsi="宋体" w:eastAsia="宋体"/>
              <w:sz w:val="28"/>
              <w:szCs w:val="28"/>
            </w:rPr>
            <w:t>9</w:t>
          </w:r>
          <w:r>
            <w:rPr>
              <w:rFonts w:ascii="宋体" w:hAnsi="宋体" w:eastAsia="宋体"/>
              <w:sz w:val="28"/>
              <w:szCs w:val="28"/>
            </w:rPr>
            <w:fldChar w:fldCharType="end"/>
          </w:r>
          <w:r>
            <w:rPr>
              <w:rFonts w:ascii="宋体" w:hAnsi="宋体" w:eastAsia="宋体"/>
              <w:sz w:val="28"/>
              <w:szCs w:val="28"/>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"_Toc113029571" </w:instrText>
          </w:r>
          <w:r>
            <w:fldChar w:fldCharType="separate"/>
          </w:r>
          <w:r>
            <w:rPr>
              <w:rStyle w:val="30"/>
              <w:rFonts w:ascii="宋体" w:hAnsi="宋体" w:eastAsia="宋体"/>
              <w:sz w:val="28"/>
              <w:szCs w:val="28"/>
            </w:rPr>
            <w:t>二、紧跟数字时代步伐，抓住电商增收红利</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_Toc113029571 \h </w:instrText>
          </w:r>
          <w:r>
            <w:rPr>
              <w:rFonts w:ascii="宋体" w:hAnsi="宋体" w:eastAsia="宋体"/>
              <w:sz w:val="28"/>
              <w:szCs w:val="28"/>
            </w:rPr>
            <w:fldChar w:fldCharType="separate"/>
          </w:r>
          <w:r>
            <w:rPr>
              <w:rFonts w:ascii="宋体" w:hAnsi="宋体" w:eastAsia="宋体"/>
              <w:sz w:val="28"/>
              <w:szCs w:val="28"/>
            </w:rPr>
            <w:t>9</w:t>
          </w:r>
          <w:r>
            <w:rPr>
              <w:rFonts w:ascii="宋体" w:hAnsi="宋体" w:eastAsia="宋体"/>
              <w:sz w:val="28"/>
              <w:szCs w:val="28"/>
            </w:rPr>
            <w:fldChar w:fldCharType="end"/>
          </w:r>
          <w:r>
            <w:rPr>
              <w:rFonts w:ascii="宋体" w:hAnsi="宋体" w:eastAsia="宋体"/>
              <w:sz w:val="28"/>
              <w:szCs w:val="28"/>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"_Toc113029572" </w:instrText>
          </w:r>
          <w:r>
            <w:fldChar w:fldCharType="separate"/>
          </w:r>
          <w:r>
            <w:rPr>
              <w:rStyle w:val="30"/>
              <w:rFonts w:ascii="宋体" w:hAnsi="宋体" w:eastAsia="宋体"/>
              <w:sz w:val="28"/>
              <w:szCs w:val="28"/>
            </w:rPr>
            <w:t>三、招商引资仍为重点，系统培训需合理有序进行</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_Toc113029572 \h </w:instrText>
          </w:r>
          <w:r>
            <w:rPr>
              <w:rFonts w:ascii="宋体" w:hAnsi="宋体" w:eastAsia="宋体"/>
              <w:sz w:val="28"/>
              <w:szCs w:val="28"/>
            </w:rPr>
            <w:fldChar w:fldCharType="separate"/>
          </w:r>
          <w:r>
            <w:rPr>
              <w:rFonts w:ascii="宋体" w:hAnsi="宋体" w:eastAsia="宋体"/>
              <w:sz w:val="28"/>
              <w:szCs w:val="28"/>
            </w:rPr>
            <w:t>10</w:t>
          </w:r>
          <w:r>
            <w:rPr>
              <w:rFonts w:ascii="宋体" w:hAnsi="宋体" w:eastAsia="宋体"/>
              <w:sz w:val="28"/>
              <w:szCs w:val="28"/>
            </w:rPr>
            <w:fldChar w:fldCharType="end"/>
          </w:r>
          <w:r>
            <w:rPr>
              <w:rFonts w:ascii="宋体" w:hAnsi="宋体" w:eastAsia="宋体"/>
              <w:sz w:val="28"/>
              <w:szCs w:val="28"/>
            </w:rPr>
            <w:fldChar w:fldCharType="end"/>
          </w:r>
        </w:p>
        <w:p>
          <w:pPr>
            <w:pStyle w:val="18"/>
            <w:tabs>
              <w:tab w:val="right" w:leader="dot" w:pos="8647"/>
              <w:tab w:val="clear" w:pos="6482"/>
            </w:tabs>
            <w:rPr>
              <w:rFonts w:ascii="宋体" w:hAnsi="宋体" w:eastAsia="宋体" w:cstheme="minorBidi"/>
              <w:kern w:val="2"/>
              <w:sz w:val="28"/>
              <w:szCs w:val="28"/>
            </w:rPr>
          </w:pPr>
          <w:r>
            <w:fldChar w:fldCharType="begin"/>
          </w:r>
          <w:r>
            <w:instrText xml:space="preserve"> HYPERLINK \l "_Toc113029573" </w:instrText>
          </w:r>
          <w:r>
            <w:fldChar w:fldCharType="separate"/>
          </w:r>
          <w:r>
            <w:rPr>
              <w:rStyle w:val="30"/>
              <w:rFonts w:ascii="宋体" w:hAnsi="宋体" w:eastAsia="宋体"/>
              <w:sz w:val="28"/>
              <w:szCs w:val="28"/>
            </w:rPr>
            <w:t>四、教育和引进两手抓，结合实际情况调整振兴策略</w:t>
          </w:r>
          <w:r>
            <w:rPr>
              <w:rFonts w:ascii="宋体" w:hAnsi="宋体" w:eastAsia="宋体"/>
              <w:sz w:val="28"/>
              <w:szCs w:val="28"/>
            </w:rPr>
            <w:tab/>
          </w:r>
          <w:r>
            <w:rPr>
              <w:rFonts w:ascii="宋体" w:hAnsi="宋体" w:eastAsia="宋体"/>
              <w:sz w:val="28"/>
              <w:szCs w:val="28"/>
            </w:rPr>
            <w:fldChar w:fldCharType="begin"/>
          </w:r>
          <w:r>
            <w:rPr>
              <w:rFonts w:ascii="宋体" w:hAnsi="宋体" w:eastAsia="宋体"/>
              <w:sz w:val="28"/>
              <w:szCs w:val="28"/>
            </w:rPr>
            <w:instrText xml:space="preserve"> PAGEREF _Toc113029573 \h </w:instrText>
          </w:r>
          <w:r>
            <w:rPr>
              <w:rFonts w:ascii="宋体" w:hAnsi="宋体" w:eastAsia="宋体"/>
              <w:sz w:val="28"/>
              <w:szCs w:val="28"/>
            </w:rPr>
            <w:fldChar w:fldCharType="separate"/>
          </w:r>
          <w:r>
            <w:rPr>
              <w:rFonts w:ascii="宋体" w:hAnsi="宋体" w:eastAsia="宋体"/>
              <w:sz w:val="28"/>
              <w:szCs w:val="28"/>
            </w:rPr>
            <w:t>11</w:t>
          </w:r>
          <w:r>
            <w:rPr>
              <w:rFonts w:ascii="宋体" w:hAnsi="宋体" w:eastAsia="宋体"/>
              <w:sz w:val="28"/>
              <w:szCs w:val="28"/>
            </w:rPr>
            <w:fldChar w:fldCharType="end"/>
          </w:r>
          <w:r>
            <w:rPr>
              <w:rFonts w:ascii="宋体" w:hAnsi="宋体" w:eastAsia="宋体"/>
              <w:sz w:val="28"/>
              <w:szCs w:val="28"/>
            </w:rPr>
            <w:fldChar w:fldCharType="end"/>
          </w:r>
        </w:p>
        <w:p>
          <w:pPr>
            <w:rPr>
              <w:rFonts w:ascii="宋体" w:hAnsi="宋体"/>
              <w:sz w:val="28"/>
              <w:szCs w:val="28"/>
            </w:rPr>
          </w:pPr>
          <w:r>
            <w:rPr>
              <w:rFonts w:ascii="宋体" w:hAnsi="宋体"/>
              <w:b/>
              <w:bCs/>
              <w:sz w:val="28"/>
              <w:szCs w:val="28"/>
              <w:lang w:val="zh-CN"/>
            </w:rPr>
            <w:fldChar w:fldCharType="end"/>
          </w:r>
        </w:p>
      </w:sdtContent>
    </w:sdt>
    <w:p>
      <w:pPr>
        <w:adjustRightInd w:val="0"/>
        <w:snapToGrid w:val="0"/>
        <w:spacing w:line="540" w:lineRule="atLeast"/>
        <w:ind w:firstLine="480" w:firstLineChars="200"/>
        <w:rPr>
          <w:rFonts w:ascii="微软雅黑" w:hAnsi="微软雅黑" w:eastAsia="微软雅黑"/>
          <w:sz w:val="24"/>
          <w:szCs w:val="24"/>
        </w:rPr>
      </w:pPr>
      <w:bookmarkStart w:id="13" w:name="_GoBack"/>
      <w:bookmarkEnd w:id="13"/>
    </w:p>
    <w:p>
      <w:pPr>
        <w:adjustRightInd w:val="0"/>
        <w:snapToGrid w:val="0"/>
        <w:spacing w:line="540" w:lineRule="atLeast"/>
        <w:ind w:firstLine="480" w:firstLineChars="200"/>
        <w:rPr>
          <w:rFonts w:ascii="微软雅黑" w:hAnsi="微软雅黑" w:eastAsia="微软雅黑"/>
          <w:sz w:val="24"/>
          <w:szCs w:val="24"/>
        </w:rPr>
      </w:pPr>
    </w:p>
    <w:p>
      <w:pPr>
        <w:adjustRightInd w:val="0"/>
        <w:snapToGrid w:val="0"/>
        <w:spacing w:line="540" w:lineRule="atLeast"/>
        <w:ind w:firstLine="480" w:firstLineChars="200"/>
        <w:rPr>
          <w:rFonts w:ascii="微软雅黑" w:hAnsi="微软雅黑" w:eastAsia="微软雅黑"/>
          <w:sz w:val="24"/>
          <w:szCs w:val="24"/>
        </w:rPr>
      </w:pPr>
    </w:p>
    <w:p>
      <w:pPr>
        <w:adjustRightInd w:val="0"/>
        <w:snapToGrid w:val="0"/>
        <w:spacing w:line="540" w:lineRule="atLeast"/>
        <w:ind w:firstLine="480" w:firstLineChars="200"/>
        <w:rPr>
          <w:rFonts w:ascii="微软雅黑" w:hAnsi="微软雅黑" w:eastAsia="微软雅黑"/>
          <w:sz w:val="24"/>
          <w:szCs w:val="24"/>
        </w:rPr>
      </w:pPr>
    </w:p>
    <w:p>
      <w:pPr>
        <w:adjustRightInd w:val="0"/>
        <w:snapToGrid w:val="0"/>
        <w:spacing w:line="540" w:lineRule="atLeast"/>
        <w:ind w:firstLine="480" w:firstLineChars="200"/>
        <w:rPr>
          <w:rFonts w:ascii="微软雅黑" w:hAnsi="微软雅黑" w:eastAsia="微软雅黑"/>
          <w:sz w:val="24"/>
          <w:szCs w:val="24"/>
        </w:rPr>
      </w:pPr>
    </w:p>
    <w:p>
      <w:pPr>
        <w:adjustRightInd w:val="0"/>
        <w:snapToGrid w:val="0"/>
        <w:spacing w:line="540" w:lineRule="atLeast"/>
        <w:ind w:firstLine="480" w:firstLineChars="200"/>
        <w:rPr>
          <w:rFonts w:ascii="微软雅黑" w:hAnsi="微软雅黑" w:eastAsia="微软雅黑"/>
          <w:sz w:val="24"/>
          <w:szCs w:val="24"/>
        </w:rPr>
      </w:pPr>
    </w:p>
    <w:p>
      <w:pPr>
        <w:adjustRightInd w:val="0"/>
        <w:snapToGrid w:val="0"/>
        <w:spacing w:line="540" w:lineRule="atLeast"/>
        <w:ind w:firstLine="480" w:firstLineChars="200"/>
        <w:rPr>
          <w:rFonts w:ascii="微软雅黑" w:hAnsi="微软雅黑" w:eastAsia="微软雅黑"/>
          <w:sz w:val="24"/>
          <w:szCs w:val="24"/>
        </w:rPr>
      </w:pPr>
    </w:p>
    <w:p>
      <w:pPr>
        <w:adjustRightInd w:val="0"/>
        <w:snapToGrid w:val="0"/>
        <w:spacing w:line="540" w:lineRule="atLeast"/>
        <w:ind w:firstLine="480" w:firstLineChars="200"/>
        <w:rPr>
          <w:rFonts w:ascii="微软雅黑" w:hAnsi="微软雅黑" w:eastAsia="微软雅黑"/>
          <w:sz w:val="24"/>
          <w:szCs w:val="24"/>
        </w:rPr>
      </w:pPr>
    </w:p>
    <w:p>
      <w:pPr>
        <w:pStyle w:val="2"/>
        <w:rPr>
          <w:rFonts w:ascii="黑体" w:hAnsi="黑体" w:eastAsia="黑体"/>
          <w:b w:val="0"/>
          <w:sz w:val="30"/>
          <w:szCs w:val="30"/>
        </w:rPr>
        <w:sectPr>
          <w:headerReference r:id="rId3" w:type="default"/>
          <w:footerReference r:id="rId4" w:type="default"/>
          <w:pgSz w:w="11906" w:h="16838"/>
          <w:pgMar w:top="1440" w:right="1440" w:bottom="1440" w:left="1440" w:header="851" w:footer="462" w:gutter="0"/>
          <w:pgNumType w:start="1" w:chapStyle="1"/>
          <w:cols w:space="425" w:num="1"/>
          <w:docGrid w:type="lines" w:linePitch="312" w:charSpace="0"/>
        </w:sectPr>
      </w:pPr>
    </w:p>
    <w:p>
      <w:pPr>
        <w:pStyle w:val="2"/>
        <w:jc w:val="center"/>
        <w:rPr>
          <w:rFonts w:ascii="黑体" w:hAnsi="黑体" w:eastAsia="黑体"/>
          <w:b w:val="0"/>
          <w:sz w:val="30"/>
          <w:szCs w:val="30"/>
        </w:rPr>
      </w:pPr>
      <w:bookmarkStart w:id="0" w:name="_Toc113029561"/>
      <w:r>
        <w:rPr>
          <w:rFonts w:hint="eastAsia" w:ascii="黑体" w:hAnsi="黑体" w:eastAsia="黑体"/>
          <w:b w:val="0"/>
          <w:sz w:val="30"/>
          <w:szCs w:val="30"/>
        </w:rPr>
        <w:t>第一章  调研县域发展现状</w:t>
      </w:r>
      <w:bookmarkEnd w:id="0"/>
    </w:p>
    <w:p>
      <w:pPr>
        <w:pStyle w:val="263"/>
      </w:pPr>
      <w:bookmarkStart w:id="1" w:name="_Toc113029562"/>
      <w:r>
        <w:rPr>
          <w:rFonts w:hint="eastAsia"/>
        </w:rPr>
        <w:t>一、金寨县经济发展情况</w:t>
      </w:r>
      <w:bookmarkEnd w:id="1"/>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金寨县隶属于安徽省六安市，地处大别山腹地，鄂豫皖三省七县二区结合部。其总面积3</w:t>
      </w:r>
      <w:r>
        <w:rPr>
          <w:rFonts w:ascii="宋体" w:hAnsi="宋体"/>
          <w:sz w:val="24"/>
          <w:szCs w:val="24"/>
        </w:rPr>
        <w:t>,</w:t>
      </w:r>
      <w:r>
        <w:rPr>
          <w:rFonts w:hint="eastAsia" w:ascii="宋体" w:hAnsi="宋体"/>
          <w:sz w:val="24"/>
          <w:szCs w:val="24"/>
        </w:rPr>
        <w:t>814平方公里，辖23个乡镇、1个开发区，全县常住人口为49.65万人，是安徽省面积最大、人口最多的山区县和旅游资源大县，也是中国革命的重要策源地、人民军队的重要发源地。2020年4月，在习近平总书记亲临考察4周年之际，通过第三方专项评估检查，正式退出贫困县序列，圆满实现高质量脱贫摘帽目标。以长三角一体化、中部崛起、皖江城市带、合肥都市圈、加快皖北发展、促进革命老区发展等系列政策为依托，金寨县迈进了“十四五”新时代下乡村振兴的新时期。</w:t>
      </w:r>
    </w:p>
    <w:p>
      <w:pPr>
        <w:pStyle w:val="10"/>
        <w:rPr>
          <w:rFonts w:ascii="微软雅黑" w:hAnsi="微软雅黑" w:eastAsia="微软雅黑"/>
          <w:sz w:val="24"/>
          <w:szCs w:val="24"/>
        </w:rPr>
      </w:pPr>
      <w:r>
        <w:rPr>
          <w:rFonts w:ascii="微软雅黑" w:hAnsi="微软雅黑" w:eastAsia="微软雅黑"/>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44450</wp:posOffset>
            </wp:positionV>
            <wp:extent cx="3554095" cy="1940560"/>
            <wp:effectExtent l="38100" t="38100" r="103505" b="977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54233" cy="1940666"/>
                    </a:xfrm>
                    <a:prstGeom prst="rect">
                      <a:avLst/>
                    </a:prstGeom>
                    <a:noFill/>
                    <a:effectLst>
                      <a:outerShdw blurRad="50800" dist="38100" dir="2700000" algn="tl" rotWithShape="0">
                        <a:prstClr val="black">
                          <a:alpha val="40000"/>
                        </a:prstClr>
                      </a:outerShdw>
                    </a:effectLst>
                  </pic:spPr>
                </pic:pic>
              </a:graphicData>
            </a:graphic>
          </wp:anchor>
        </w:drawing>
      </w:r>
    </w:p>
    <w:p>
      <w:pPr>
        <w:pStyle w:val="10"/>
        <w:rPr>
          <w:rFonts w:ascii="微软雅黑" w:hAnsi="微软雅黑" w:eastAsia="微软雅黑"/>
          <w:sz w:val="24"/>
          <w:szCs w:val="24"/>
        </w:rPr>
      </w:pPr>
    </w:p>
    <w:p>
      <w:pPr>
        <w:pStyle w:val="10"/>
        <w:rPr>
          <w:rFonts w:ascii="微软雅黑" w:hAnsi="微软雅黑" w:eastAsia="微软雅黑"/>
          <w:sz w:val="24"/>
          <w:szCs w:val="24"/>
        </w:rPr>
      </w:pPr>
    </w:p>
    <w:p>
      <w:pPr>
        <w:pStyle w:val="10"/>
        <w:rPr>
          <w:rFonts w:ascii="微软雅黑" w:hAnsi="微软雅黑" w:eastAsia="微软雅黑"/>
          <w:sz w:val="24"/>
          <w:szCs w:val="24"/>
        </w:rPr>
      </w:pPr>
    </w:p>
    <w:p>
      <w:pPr>
        <w:pStyle w:val="10"/>
        <w:rPr>
          <w:rFonts w:ascii="微软雅黑" w:hAnsi="微软雅黑" w:eastAsia="微软雅黑"/>
          <w:sz w:val="24"/>
          <w:szCs w:val="24"/>
        </w:rPr>
      </w:pPr>
    </w:p>
    <w:p>
      <w:pPr>
        <w:adjustRightInd w:val="0"/>
        <w:snapToGrid w:val="0"/>
        <w:spacing w:line="440" w:lineRule="exact"/>
        <w:ind w:firstLine="480" w:firstLineChars="200"/>
        <w:rPr>
          <w:rFonts w:ascii="宋体" w:hAnsi="宋体"/>
          <w:sz w:val="24"/>
          <w:szCs w:val="24"/>
        </w:rPr>
      </w:pPr>
      <w:r>
        <w:rPr>
          <w:rFonts w:hint="eastAsia" w:ascii="宋体" w:hAnsi="宋体"/>
          <w:sz w:val="24"/>
          <w:szCs w:val="24"/>
        </w:rPr>
        <w:t>数据</w:t>
      </w:r>
      <w:r>
        <w:rPr>
          <w:rFonts w:ascii="宋体" w:hAnsi="宋体"/>
          <w:sz w:val="24"/>
          <w:szCs w:val="24"/>
        </w:rPr>
        <w:t>来源：中国地图网</w:t>
      </w:r>
    </w:p>
    <w:p>
      <w:pPr>
        <w:adjustRightInd w:val="0"/>
        <w:snapToGrid w:val="0"/>
        <w:spacing w:line="440" w:lineRule="exact"/>
        <w:ind w:firstLine="480" w:firstLineChars="200"/>
        <w:jc w:val="center"/>
        <w:rPr>
          <w:rFonts w:ascii="宋体" w:hAnsi="宋体"/>
          <w:sz w:val="24"/>
          <w:szCs w:val="24"/>
        </w:rPr>
      </w:pPr>
      <w:r>
        <w:rPr>
          <w:rFonts w:hint="eastAsia" w:ascii="宋体" w:hAnsi="宋体"/>
          <w:sz w:val="24"/>
          <w:szCs w:val="24"/>
        </w:rPr>
        <w:t>图1：</w:t>
      </w:r>
      <w:r>
        <w:rPr>
          <w:rFonts w:ascii="宋体" w:hAnsi="宋体"/>
          <w:sz w:val="24"/>
          <w:szCs w:val="24"/>
        </w:rPr>
        <w:t>金寨县地理位置</w:t>
      </w:r>
    </w:p>
    <w:p>
      <w:pPr>
        <w:adjustRightInd w:val="0"/>
        <w:snapToGrid w:val="0"/>
        <w:spacing w:line="440" w:lineRule="exact"/>
        <w:ind w:firstLine="480" w:firstLineChars="200"/>
        <w:rPr>
          <w:rFonts w:ascii="宋体" w:hAnsi="宋体"/>
          <w:sz w:val="24"/>
          <w:szCs w:val="24"/>
        </w:rPr>
      </w:pPr>
    </w:p>
    <w:p>
      <w:pPr>
        <w:adjustRightInd w:val="0"/>
        <w:snapToGrid w:val="0"/>
        <w:spacing w:line="440" w:lineRule="exact"/>
        <w:ind w:firstLine="480" w:firstLineChars="200"/>
        <w:rPr>
          <w:rFonts w:ascii="微软雅黑" w:hAnsi="微软雅黑" w:eastAsia="微软雅黑"/>
          <w:sz w:val="24"/>
          <w:szCs w:val="24"/>
        </w:rPr>
      </w:pPr>
      <w:r>
        <w:rPr>
          <w:rFonts w:hint="eastAsia" w:ascii="宋体" w:hAnsi="宋体"/>
          <w:sz w:val="24"/>
          <w:szCs w:val="24"/>
        </w:rPr>
        <w:t>2021年，金寨县实现地区生产总值（GDP）224.8亿元，实现同比增长10.3%。产业结构比优化为12</w:t>
      </w:r>
      <w:r>
        <w:rPr>
          <w:rFonts w:ascii="宋体" w:hAnsi="宋体"/>
          <w:sz w:val="24"/>
          <w:szCs w:val="24"/>
        </w:rPr>
        <w:t>.0</w:t>
      </w:r>
      <w:r>
        <w:rPr>
          <w:rFonts w:hint="eastAsia" w:ascii="宋体" w:hAnsi="宋体"/>
          <w:sz w:val="24"/>
          <w:szCs w:val="24"/>
        </w:rPr>
        <w:t>:44.7:43.3，其中第一产业生产总值27.02亿元，第二产业生产总·值100.38亿元，第三产业生产总值97.41亿元，分别较上年增长9.5%、9.9%和10.8%。</w:t>
      </w:r>
    </w:p>
    <w:p>
      <w:pPr>
        <w:pStyle w:val="10"/>
        <w:spacing w:line="560" w:lineRule="exact"/>
        <w:ind w:firstLine="480" w:firstLineChars="200"/>
        <w:rPr>
          <w:rFonts w:ascii="微软雅黑" w:hAnsi="微软雅黑" w:eastAsia="微软雅黑"/>
          <w:sz w:val="24"/>
          <w:szCs w:val="24"/>
        </w:rPr>
      </w:pPr>
      <w:r>
        <w:rPr>
          <w:rFonts w:ascii="黑体" w:hAnsi="黑体" w:eastAsia="黑体" w:cs="黑体"/>
          <w:color w:val="5D5D5D"/>
          <w:sz w:val="24"/>
        </w:rPr>
        <w:drawing>
          <wp:anchor distT="0" distB="0" distL="114300" distR="114300" simplePos="0" relativeHeight="251660288" behindDoc="0" locked="0" layoutInCell="1" allowOverlap="1">
            <wp:simplePos x="0" y="0"/>
            <wp:positionH relativeFrom="margin">
              <wp:align>center</wp:align>
            </wp:positionH>
            <wp:positionV relativeFrom="paragraph">
              <wp:posOffset>48895</wp:posOffset>
            </wp:positionV>
            <wp:extent cx="3896360" cy="2082800"/>
            <wp:effectExtent l="38100" t="38100" r="104775" b="88900"/>
            <wp:wrapNone/>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6140" cy="2082800"/>
                    </a:xfrm>
                    <a:prstGeom prst="rect">
                      <a:avLst/>
                    </a:prstGeom>
                    <a:effectLst>
                      <a:outerShdw blurRad="50800" dist="38100" dir="2700000" algn="tl" rotWithShape="0">
                        <a:prstClr val="black">
                          <a:alpha val="40000"/>
                        </a:prstClr>
                      </a:outerShdw>
                    </a:effectLst>
                  </pic:spPr>
                </pic:pic>
              </a:graphicData>
            </a:graphic>
          </wp:anchor>
        </w:drawing>
      </w: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jc w:val="center"/>
        <w:rPr>
          <w:rFonts w:ascii="黑体" w:hAnsi="黑体" w:eastAsia="黑体" w:cs="黑体"/>
          <w:color w:val="5D5D5D"/>
          <w:sz w:val="20"/>
        </w:rPr>
      </w:pPr>
    </w:p>
    <w:p>
      <w:pPr>
        <w:jc w:val="left"/>
        <w:rPr>
          <w:rFonts w:ascii="黑体" w:hAnsi="黑体" w:eastAsia="黑体" w:cs="黑体"/>
          <w:color w:val="5D5D5D"/>
          <w:sz w:val="20"/>
        </w:rPr>
      </w:pPr>
    </w:p>
    <w:p>
      <w:pPr>
        <w:adjustRightInd w:val="0"/>
        <w:snapToGrid w:val="0"/>
        <w:spacing w:line="440" w:lineRule="exact"/>
        <w:ind w:firstLine="480" w:firstLineChars="200"/>
        <w:jc w:val="left"/>
        <w:rPr>
          <w:rFonts w:ascii="宋体" w:hAnsi="宋体" w:cs="黑体"/>
          <w:color w:val="5D5D5D"/>
          <w:sz w:val="24"/>
          <w:szCs w:val="24"/>
        </w:rPr>
      </w:pPr>
      <w:r>
        <w:rPr>
          <w:rFonts w:hint="eastAsia" w:ascii="宋体" w:hAnsi="宋体"/>
          <w:sz w:val="24"/>
          <w:szCs w:val="24"/>
        </w:rPr>
        <w:t>数据来源：WIND,华泰联合证券</w:t>
      </w:r>
    </w:p>
    <w:p>
      <w:pPr>
        <w:adjustRightInd w:val="0"/>
        <w:snapToGrid w:val="0"/>
        <w:spacing w:line="440" w:lineRule="exact"/>
        <w:ind w:firstLine="480" w:firstLineChars="200"/>
        <w:jc w:val="center"/>
        <w:rPr>
          <w:rFonts w:ascii="黑体" w:hAnsi="黑体" w:eastAsia="黑体" w:cs="黑体"/>
          <w:color w:val="5D5D5D"/>
          <w:sz w:val="20"/>
        </w:rPr>
      </w:pPr>
      <w:r>
        <w:rPr>
          <w:rFonts w:hint="eastAsia" w:ascii="宋体" w:hAnsi="宋体"/>
          <w:sz w:val="24"/>
          <w:szCs w:val="24"/>
        </w:rPr>
        <w:t>表</w:t>
      </w:r>
      <w:r>
        <w:rPr>
          <w:rFonts w:ascii="宋体" w:hAnsi="宋体"/>
          <w:sz w:val="24"/>
          <w:szCs w:val="24"/>
        </w:rPr>
        <w:t>1</w:t>
      </w:r>
      <w:r>
        <w:rPr>
          <w:rFonts w:hint="eastAsia" w:ascii="宋体" w:hAnsi="宋体"/>
          <w:sz w:val="24"/>
          <w:szCs w:val="24"/>
        </w:rPr>
        <w:t xml:space="preserve"> 金寨县2012-2021年GDP总量及财政收入（亿元）</w:t>
      </w:r>
    </w:p>
    <w:p>
      <w:pPr>
        <w:adjustRightInd w:val="0"/>
        <w:snapToGrid w:val="0"/>
        <w:spacing w:line="440" w:lineRule="exact"/>
        <w:ind w:firstLine="480" w:firstLineChars="200"/>
        <w:rPr>
          <w:rFonts w:ascii="宋体" w:hAnsi="宋体"/>
          <w:sz w:val="24"/>
          <w:szCs w:val="24"/>
        </w:rPr>
      </w:pPr>
    </w:p>
    <w:p>
      <w:pPr>
        <w:adjustRightInd w:val="0"/>
        <w:snapToGrid w:val="0"/>
        <w:spacing w:line="440" w:lineRule="exact"/>
        <w:ind w:firstLine="480" w:firstLineChars="200"/>
        <w:rPr>
          <w:rFonts w:ascii="微软雅黑" w:hAnsi="微软雅黑" w:eastAsia="微软雅黑"/>
          <w:sz w:val="24"/>
          <w:szCs w:val="24"/>
        </w:rPr>
      </w:pPr>
      <w:r>
        <w:rPr>
          <w:rFonts w:hint="eastAsia" w:ascii="宋体" w:hAnsi="宋体"/>
          <w:sz w:val="24"/>
          <w:szCs w:val="24"/>
        </w:rPr>
        <w:t>2021年，金寨县城乡常驻居民人均可支配收入21,040元，较2020年提高10.5个百分点，居全市第2位。其中城镇常住居民人均可支配收入31,671元，增长9.2%，增速低于全市0.2个百分点，居全市第4位；农村常住居民人均可支配收入15,018元，同比增长11.1%，增速高于全市0.3个百分点，居全市首位。</w:t>
      </w:r>
    </w:p>
    <w:p>
      <w:pPr>
        <w:pStyle w:val="10"/>
        <w:spacing w:line="560" w:lineRule="exact"/>
        <w:ind w:firstLine="480" w:firstLineChars="200"/>
        <w:rPr>
          <w:rFonts w:ascii="微软雅黑" w:hAnsi="微软雅黑" w:eastAsia="微软雅黑"/>
          <w:sz w:val="24"/>
          <w:szCs w:val="24"/>
        </w:rPr>
      </w:pPr>
      <w:r>
        <w:rPr>
          <w:rFonts w:ascii="微软雅黑" w:hAnsi="微软雅黑" w:eastAsia="微软雅黑"/>
          <w:sz w:val="24"/>
          <w:szCs w:val="24"/>
        </w:rPr>
        <w:drawing>
          <wp:anchor distT="0" distB="0" distL="114300" distR="114300" simplePos="0" relativeHeight="251661312" behindDoc="0" locked="0" layoutInCell="1" allowOverlap="1">
            <wp:simplePos x="0" y="0"/>
            <wp:positionH relativeFrom="margin">
              <wp:posOffset>1041400</wp:posOffset>
            </wp:positionH>
            <wp:positionV relativeFrom="paragraph">
              <wp:posOffset>51435</wp:posOffset>
            </wp:positionV>
            <wp:extent cx="3721100" cy="2233930"/>
            <wp:effectExtent l="38100" t="38100" r="88900" b="9017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21211" cy="2233930"/>
                    </a:xfrm>
                    <a:prstGeom prst="rect">
                      <a:avLst/>
                    </a:prstGeom>
                    <a:noFill/>
                    <a:effectLst>
                      <a:outerShdw blurRad="50800" dist="38100" dir="2700000" algn="tl" rotWithShape="0">
                        <a:prstClr val="black">
                          <a:alpha val="40000"/>
                        </a:prstClr>
                      </a:outerShdw>
                    </a:effectLst>
                  </pic:spPr>
                </pic:pic>
              </a:graphicData>
            </a:graphic>
          </wp:anchor>
        </w:drawing>
      </w:r>
      <w:r>
        <w:rPr>
          <w:rFonts w:ascii="微软雅黑" w:hAnsi="微软雅黑" w:eastAsia="微软雅黑"/>
          <w:sz w:val="24"/>
          <w:szCs w:val="24"/>
        </w:rPr>
        <w:t xml:space="preserve"> </w:t>
      </w: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jc w:val="left"/>
        <w:rPr>
          <w:rFonts w:ascii="黑体" w:hAnsi="黑体" w:eastAsia="黑体" w:cs="黑体"/>
          <w:color w:val="5D5D5D"/>
          <w:sz w:val="20"/>
        </w:rPr>
      </w:pPr>
    </w:p>
    <w:p>
      <w:pPr>
        <w:jc w:val="left"/>
        <w:rPr>
          <w:rFonts w:ascii="宋体" w:hAnsi="宋体"/>
          <w:sz w:val="24"/>
          <w:szCs w:val="24"/>
        </w:rPr>
      </w:pPr>
      <w:r>
        <w:rPr>
          <w:rFonts w:hint="eastAsia" w:ascii="宋体" w:hAnsi="宋体"/>
          <w:sz w:val="24"/>
          <w:szCs w:val="24"/>
        </w:rPr>
        <w:t>数据来源：六安市统计局，华泰联合证券</w:t>
      </w:r>
    </w:p>
    <w:p>
      <w:pPr>
        <w:jc w:val="center"/>
        <w:rPr>
          <w:rFonts w:ascii="宋体" w:hAnsi="宋体"/>
          <w:sz w:val="24"/>
          <w:szCs w:val="24"/>
        </w:rPr>
      </w:pPr>
      <w:r>
        <w:rPr>
          <w:rFonts w:hint="eastAsia" w:ascii="宋体" w:hAnsi="宋体"/>
          <w:sz w:val="24"/>
          <w:szCs w:val="24"/>
        </w:rPr>
        <w:t>表</w:t>
      </w:r>
      <w:r>
        <w:rPr>
          <w:rFonts w:ascii="宋体" w:hAnsi="宋体"/>
          <w:sz w:val="24"/>
          <w:szCs w:val="24"/>
        </w:rPr>
        <w:t>2</w:t>
      </w:r>
      <w:r>
        <w:rPr>
          <w:rFonts w:hint="eastAsia" w:ascii="宋体" w:hAnsi="宋体"/>
          <w:sz w:val="24"/>
          <w:szCs w:val="24"/>
        </w:rPr>
        <w:t xml:space="preserve"> 2020年和2021年六安市及各区县城乡人均可支配收入（万元）</w:t>
      </w:r>
    </w:p>
    <w:p>
      <w:pPr>
        <w:pStyle w:val="10"/>
        <w:spacing w:line="440" w:lineRule="exact"/>
        <w:ind w:firstLine="480" w:firstLineChars="200"/>
        <w:rPr>
          <w:rFonts w:hAnsi="宋体"/>
          <w:sz w:val="24"/>
          <w:szCs w:val="24"/>
        </w:rPr>
      </w:pPr>
    </w:p>
    <w:p>
      <w:pPr>
        <w:pStyle w:val="10"/>
        <w:spacing w:line="440" w:lineRule="exact"/>
        <w:ind w:firstLine="480" w:firstLineChars="200"/>
        <w:rPr>
          <w:rFonts w:hAnsi="宋体"/>
          <w:sz w:val="24"/>
          <w:szCs w:val="24"/>
        </w:rPr>
      </w:pPr>
      <w:r>
        <w:rPr>
          <w:rFonts w:hint="eastAsia" w:hAnsi="宋体"/>
          <w:sz w:val="24"/>
          <w:szCs w:val="24"/>
        </w:rPr>
        <w:t>2021年，金寨县全年实现财政收入35.05亿元，同比增长</w:t>
      </w:r>
      <w:r>
        <w:rPr>
          <w:rFonts w:hAnsi="宋体"/>
          <w:sz w:val="24"/>
          <w:szCs w:val="24"/>
        </w:rPr>
        <w:t>40</w:t>
      </w:r>
      <w:r>
        <w:rPr>
          <w:rFonts w:hint="eastAsia" w:hAnsi="宋体"/>
          <w:sz w:val="24"/>
          <w:szCs w:val="24"/>
        </w:rPr>
        <w:t>.1</w:t>
      </w:r>
      <w:r>
        <w:rPr>
          <w:rFonts w:hAnsi="宋体"/>
          <w:sz w:val="24"/>
          <w:szCs w:val="24"/>
        </w:rPr>
        <w:t>0</w:t>
      </w:r>
      <w:r>
        <w:rPr>
          <w:rFonts w:hint="eastAsia" w:hAnsi="宋体"/>
          <w:sz w:val="24"/>
          <w:szCs w:val="24"/>
        </w:rPr>
        <w:t xml:space="preserve">%；一般公共预算收入达17.31亿元，同比增长8.0%。金融机构各项人民币存款余额405亿元，同比增长5.5%；金融机构各项人民币贷款余额354.2亿元，同比增长14%。存贷款比率为 87.5%，较上年提高 6.5个百分点。 </w:t>
      </w:r>
    </w:p>
    <w:p>
      <w:pPr>
        <w:pStyle w:val="3"/>
      </w:pPr>
      <w:bookmarkStart w:id="2" w:name="_Toc113029563"/>
      <w:r>
        <w:rPr>
          <w:rFonts w:hint="eastAsia"/>
        </w:rPr>
        <w:t>二、 金寨县振兴现状、愿景及挑战</w:t>
      </w:r>
      <w:bookmarkEnd w:id="2"/>
    </w:p>
    <w:tbl>
      <w:tblPr>
        <w:tblStyle w:val="21"/>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3434"/>
        <w:gridCol w:w="3543"/>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89" w:type="dxa"/>
            <w:shd w:val="clear" w:color="auto" w:fill="FDE9D9" w:themeFill="accent6" w:themeFillTint="33"/>
          </w:tcPr>
          <w:p>
            <w:pPr>
              <w:jc w:val="center"/>
              <w:rPr>
                <w:rFonts w:ascii="楷体" w:hAnsi="楷体" w:eastAsia="楷体"/>
                <w:szCs w:val="21"/>
              </w:rPr>
            </w:pPr>
          </w:p>
        </w:tc>
        <w:tc>
          <w:tcPr>
            <w:tcW w:w="3434" w:type="dxa"/>
            <w:shd w:val="clear" w:color="auto" w:fill="FDE9D9" w:themeFill="accent6" w:themeFillTint="33"/>
          </w:tcPr>
          <w:p>
            <w:pPr>
              <w:jc w:val="center"/>
              <w:rPr>
                <w:rFonts w:asciiTheme="minorEastAsia" w:hAnsiTheme="minorEastAsia" w:eastAsiaTheme="minorEastAsia"/>
                <w:b/>
                <w:sz w:val="24"/>
                <w:szCs w:val="24"/>
              </w:rPr>
            </w:pPr>
            <w:r>
              <w:rPr>
                <w:rFonts w:asciiTheme="minorEastAsia" w:hAnsiTheme="minorEastAsia" w:eastAsiaTheme="minorEastAsia"/>
                <w:b/>
                <w:sz w:val="24"/>
                <w:szCs w:val="24"/>
              </w:rPr>
              <w:t>现状</w:t>
            </w:r>
          </w:p>
        </w:tc>
        <w:tc>
          <w:tcPr>
            <w:tcW w:w="3543" w:type="dxa"/>
            <w:shd w:val="clear" w:color="auto" w:fill="FDE9D9" w:themeFill="accent6" w:themeFillTint="33"/>
          </w:tcPr>
          <w:p>
            <w:pPr>
              <w:jc w:val="center"/>
              <w:rPr>
                <w:rFonts w:asciiTheme="minorEastAsia" w:hAnsiTheme="minorEastAsia" w:eastAsiaTheme="minorEastAsia"/>
                <w:b/>
                <w:sz w:val="24"/>
                <w:szCs w:val="24"/>
              </w:rPr>
            </w:pPr>
            <w:r>
              <w:rPr>
                <w:rFonts w:asciiTheme="minorEastAsia" w:hAnsiTheme="minorEastAsia" w:eastAsiaTheme="minorEastAsia"/>
                <w:b/>
                <w:sz w:val="24"/>
                <w:szCs w:val="24"/>
              </w:rPr>
              <w:t>愿景</w:t>
            </w:r>
          </w:p>
        </w:tc>
        <w:tc>
          <w:tcPr>
            <w:tcW w:w="3119" w:type="dxa"/>
            <w:shd w:val="clear" w:color="auto" w:fill="FDE9D9" w:themeFill="accent6" w:themeFillTint="33"/>
          </w:tcPr>
          <w:p>
            <w:pPr>
              <w:jc w:val="center"/>
              <w:rPr>
                <w:rFonts w:asciiTheme="minorEastAsia" w:hAnsiTheme="minorEastAsia" w:eastAsiaTheme="minorEastAsia"/>
                <w:b/>
                <w:sz w:val="24"/>
                <w:szCs w:val="24"/>
                <w:shd w:val="clear" w:color="auto" w:fill="FFC8B8"/>
              </w:rPr>
            </w:pPr>
            <w:r>
              <w:rPr>
                <w:rFonts w:asciiTheme="minorEastAsia" w:hAnsiTheme="minorEastAsia" w:eastAsiaTheme="minorEastAsia"/>
                <w:b/>
                <w:sz w:val="24"/>
                <w:szCs w:val="24"/>
              </w:rPr>
              <w:t>挑战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dxa"/>
            <w:shd w:val="clear" w:color="auto" w:fill="FDE9D9" w:themeFill="accent6" w:themeFillTint="33"/>
          </w:tcPr>
          <w:p>
            <w:pPr>
              <w:jc w:val="center"/>
              <w:rPr>
                <w:rFonts w:ascii="楷体" w:hAnsi="楷体" w:eastAsia="楷体"/>
                <w:szCs w:val="21"/>
              </w:rPr>
            </w:pPr>
          </w:p>
          <w:p>
            <w:pPr>
              <w:jc w:val="center"/>
              <w:rPr>
                <w:rFonts w:ascii="楷体" w:hAnsi="楷体" w:eastAsia="楷体"/>
                <w:szCs w:val="21"/>
              </w:rPr>
            </w:pPr>
          </w:p>
          <w:p>
            <w:pPr>
              <w:rPr>
                <w:rFonts w:cs="黑体" w:asciiTheme="minorEastAsia" w:hAnsiTheme="minorEastAsia" w:eastAsiaTheme="minorEastAsia"/>
                <w:sz w:val="24"/>
                <w:szCs w:val="24"/>
              </w:rPr>
            </w:pPr>
            <w:r>
              <w:rPr>
                <w:rFonts w:asciiTheme="minorEastAsia" w:hAnsiTheme="minorEastAsia" w:eastAsiaTheme="minorEastAsia"/>
                <w:b/>
                <w:sz w:val="24"/>
                <w:szCs w:val="24"/>
              </w:rPr>
              <w:t>产业实力</w:t>
            </w:r>
          </w:p>
        </w:tc>
        <w:tc>
          <w:tcPr>
            <w:tcW w:w="3434" w:type="dxa"/>
          </w:tcPr>
          <w:p>
            <w:pPr>
              <w:rPr>
                <w:rFonts w:ascii="宋体" w:hAnsi="宋体" w:cs="楷体"/>
                <w:b/>
                <w:bCs/>
                <w:color w:val="000000"/>
                <w:sz w:val="24"/>
                <w:szCs w:val="24"/>
              </w:rPr>
            </w:pPr>
            <w:r>
              <w:rPr>
                <w:rFonts w:ascii="宋体" w:hAnsi="宋体" w:cs="楷体"/>
                <w:b/>
                <w:bCs/>
                <w:color w:val="000000"/>
                <w:sz w:val="24"/>
                <w:szCs w:val="24"/>
              </w:rPr>
              <w:t>致力转型升级，产业特色更加鲜明。</w:t>
            </w:r>
          </w:p>
          <w:p>
            <w:pPr>
              <w:rPr>
                <w:rFonts w:ascii="宋体" w:hAnsi="宋体" w:cs="微软雅黑"/>
                <w:color w:val="000000"/>
                <w:sz w:val="24"/>
                <w:szCs w:val="24"/>
              </w:rPr>
            </w:pPr>
            <w:r>
              <w:rPr>
                <w:rFonts w:ascii="宋体" w:hAnsi="宋体" w:cs="楷体"/>
                <w:color w:val="000000"/>
                <w:sz w:val="24"/>
                <w:szCs w:val="24"/>
              </w:rPr>
              <w:t>全年纳入市5,000万元以上重点工业库项目50个；完成工业固定资产投资73.7亿元、增长25%；争当全域旅游创建示范，获评携程最受欢迎红色旅游目的地、入选首批长三角高铁旅游小城；推进农村寄递物流体系一体化建设，全县网销额达20.6亿元、增长22%；全县限上消费品零售额13.4亿元、增长35%。</w:t>
            </w:r>
          </w:p>
        </w:tc>
        <w:tc>
          <w:tcPr>
            <w:tcW w:w="3543" w:type="dxa"/>
          </w:tcPr>
          <w:p>
            <w:pPr>
              <w:rPr>
                <w:rFonts w:ascii="宋体" w:hAnsi="宋体" w:cs="楷体"/>
                <w:b/>
                <w:bCs/>
                <w:color w:val="000000"/>
                <w:sz w:val="24"/>
                <w:szCs w:val="24"/>
              </w:rPr>
            </w:pPr>
            <w:r>
              <w:rPr>
                <w:rFonts w:ascii="宋体" w:hAnsi="宋体" w:cs="楷体"/>
                <w:b/>
                <w:bCs/>
                <w:color w:val="000000"/>
                <w:sz w:val="24"/>
                <w:szCs w:val="24"/>
              </w:rPr>
              <w:t>牢牢把握“高质量发展”这一主题。</w:t>
            </w:r>
          </w:p>
          <w:p>
            <w:pPr>
              <w:rPr>
                <w:rFonts w:ascii="宋体" w:hAnsi="宋体" w:cs="楷体"/>
                <w:color w:val="000000"/>
                <w:sz w:val="24"/>
                <w:szCs w:val="24"/>
              </w:rPr>
            </w:pPr>
            <w:r>
              <w:rPr>
                <w:rFonts w:ascii="宋体" w:hAnsi="宋体" w:cs="楷体"/>
                <w:color w:val="000000"/>
                <w:sz w:val="24"/>
                <w:szCs w:val="24"/>
              </w:rPr>
              <w:t>围绕8项主要指标增幅全省领先、总量实现翻番，实施一产“两强一增”、二产“提质扩量增效”、三产“锻长补短”行动计划，争当全域旅游创建、现代农业产业园建设、开发区争先进位示范，稳居高质量发展第一方阵。</w:t>
            </w:r>
          </w:p>
        </w:tc>
        <w:tc>
          <w:tcPr>
            <w:tcW w:w="3119" w:type="dxa"/>
          </w:tcPr>
          <w:p>
            <w:pPr>
              <w:rPr>
                <w:rFonts w:ascii="宋体" w:hAnsi="宋体" w:cs="楷体"/>
                <w:color w:val="000000"/>
                <w:sz w:val="24"/>
                <w:szCs w:val="24"/>
                <w:shd w:val="clear" w:color="auto" w:fill="DFF8FF"/>
              </w:rPr>
            </w:pPr>
            <w:r>
              <w:rPr>
                <w:rFonts w:ascii="宋体" w:hAnsi="宋体" w:cs="楷体"/>
                <w:b/>
                <w:bCs/>
                <w:color w:val="000000"/>
                <w:sz w:val="24"/>
                <w:szCs w:val="24"/>
              </w:rPr>
              <w:t>新冠病毒带来的影响逐渐凸显，产业自身问题仍待解决。</w:t>
            </w:r>
          </w:p>
          <w:p>
            <w:pPr>
              <w:rPr>
                <w:rFonts w:ascii="宋体" w:hAnsi="宋体" w:cs="楷体"/>
                <w:color w:val="000000"/>
                <w:sz w:val="24"/>
                <w:szCs w:val="24"/>
              </w:rPr>
            </w:pPr>
            <w:r>
              <w:rPr>
                <w:rFonts w:ascii="宋体" w:hAnsi="宋体" w:cs="楷体"/>
                <w:color w:val="000000"/>
                <w:sz w:val="24"/>
                <w:szCs w:val="24"/>
              </w:rPr>
              <w:t>1）工业生产和贸易受到新冠疫情的持续影响，导致进度和收入出现一定程度的停滞和下降。</w:t>
            </w:r>
          </w:p>
          <w:p>
            <w:pPr>
              <w:rPr>
                <w:rFonts w:ascii="宋体" w:hAnsi="宋体"/>
                <w:sz w:val="24"/>
                <w:szCs w:val="24"/>
              </w:rPr>
            </w:pPr>
            <w:r>
              <w:rPr>
                <w:rFonts w:ascii="宋体" w:hAnsi="宋体" w:cs="楷体"/>
                <w:color w:val="000000"/>
                <w:sz w:val="24"/>
                <w:szCs w:val="24"/>
              </w:rPr>
              <w:t>2）旅游业呈现区域发展不平衡，缺乏个性化、创新性指导规划的现象。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dxa"/>
            <w:shd w:val="clear" w:color="auto" w:fill="FDE9D9" w:themeFill="accent6" w:themeFillTint="33"/>
          </w:tcPr>
          <w:p>
            <w:pPr>
              <w:jc w:val="center"/>
              <w:rPr>
                <w:rFonts w:asciiTheme="minorEastAsia" w:hAnsiTheme="minorEastAsia" w:eastAsiaTheme="minorEastAsia"/>
                <w:sz w:val="24"/>
                <w:szCs w:val="24"/>
              </w:rPr>
            </w:pPr>
          </w:p>
          <w:p>
            <w:pPr>
              <w:jc w:val="center"/>
              <w:rPr>
                <w:rFonts w:asciiTheme="minorEastAsia" w:hAnsiTheme="minorEastAsia" w:eastAsiaTheme="minorEastAsia"/>
                <w:sz w:val="24"/>
                <w:szCs w:val="24"/>
              </w:rPr>
            </w:pPr>
          </w:p>
          <w:p>
            <w:pPr>
              <w:jc w:val="center"/>
              <w:rPr>
                <w:rFonts w:asciiTheme="minorEastAsia" w:hAnsiTheme="minorEastAsia" w:eastAsiaTheme="minorEastAsia"/>
                <w:sz w:val="24"/>
                <w:szCs w:val="24"/>
              </w:rPr>
            </w:pPr>
          </w:p>
          <w:p>
            <w:pPr>
              <w:jc w:val="center"/>
              <w:rPr>
                <w:rFonts w:asciiTheme="minorEastAsia" w:hAnsiTheme="minorEastAsia" w:eastAsiaTheme="minorEastAsia"/>
                <w:sz w:val="24"/>
                <w:szCs w:val="24"/>
              </w:rPr>
            </w:pPr>
            <w:r>
              <w:rPr>
                <w:rFonts w:asciiTheme="minorEastAsia" w:hAnsiTheme="minorEastAsia" w:eastAsiaTheme="minorEastAsia"/>
                <w:b/>
                <w:sz w:val="24"/>
                <w:szCs w:val="24"/>
              </w:rPr>
              <w:t>乡村振兴</w:t>
            </w:r>
          </w:p>
        </w:tc>
        <w:tc>
          <w:tcPr>
            <w:tcW w:w="3434" w:type="dxa"/>
          </w:tcPr>
          <w:p>
            <w:pPr>
              <w:rPr>
                <w:rFonts w:ascii="宋体" w:hAnsi="宋体" w:cs="楷体"/>
                <w:b/>
                <w:bCs/>
                <w:color w:val="000000"/>
                <w:sz w:val="24"/>
                <w:szCs w:val="24"/>
              </w:rPr>
            </w:pPr>
            <w:r>
              <w:rPr>
                <w:rFonts w:ascii="宋体" w:hAnsi="宋体" w:cs="楷体"/>
                <w:b/>
                <w:bCs/>
                <w:color w:val="000000"/>
                <w:sz w:val="24"/>
                <w:szCs w:val="24"/>
              </w:rPr>
              <w:t>紧抓乡村振兴，脱贫成果更加巩固。</w:t>
            </w:r>
          </w:p>
          <w:p>
            <w:pPr>
              <w:rPr>
                <w:rFonts w:ascii="宋体" w:hAnsi="宋体"/>
                <w:sz w:val="24"/>
                <w:szCs w:val="24"/>
              </w:rPr>
            </w:pPr>
            <w:r>
              <w:rPr>
                <w:rFonts w:ascii="宋体" w:hAnsi="宋体" w:cs="楷体"/>
                <w:color w:val="000000"/>
                <w:sz w:val="24"/>
                <w:szCs w:val="24"/>
              </w:rPr>
              <w:t>1）坚持“四个不摘”</w:t>
            </w:r>
            <w:r>
              <w:rPr>
                <w:rFonts w:hint="eastAsia" w:ascii="宋体" w:hAnsi="宋体" w:cs="楷体"/>
                <w:color w:val="000000"/>
                <w:sz w:val="24"/>
                <w:szCs w:val="24"/>
              </w:rPr>
              <w:t>。</w:t>
            </w:r>
            <w:r>
              <w:rPr>
                <w:rFonts w:ascii="宋体" w:hAnsi="宋体" w:cs="楷体"/>
                <w:color w:val="000000"/>
                <w:sz w:val="24"/>
                <w:szCs w:val="24"/>
              </w:rPr>
              <w:t>安排2,820万元完善安置点基础设施，投入1.2亿元支持搬迁户发展产业，帮助搬迁劳动力就业1.4万人，全县脱贫人口返岗复工6.7万人。</w:t>
            </w:r>
          </w:p>
          <w:p>
            <w:pPr>
              <w:rPr>
                <w:rFonts w:ascii="宋体" w:hAnsi="宋体"/>
                <w:sz w:val="24"/>
                <w:szCs w:val="24"/>
              </w:rPr>
            </w:pPr>
            <w:r>
              <w:rPr>
                <w:rFonts w:ascii="宋体" w:hAnsi="宋体" w:cs="楷体"/>
                <w:color w:val="000000"/>
                <w:sz w:val="24"/>
                <w:szCs w:val="24"/>
              </w:rPr>
              <w:t>2）整合涉农资金3.2亿元，重点支持茶叶、蚕桑、中药材、果蔬四大产业区域化链式发展；大湾村旅游扶贫入选2021年世界旅游联盟典型案例；建成特色农产品加工产业园，全县规模农产品加工产值增长25%。</w:t>
            </w:r>
          </w:p>
        </w:tc>
        <w:tc>
          <w:tcPr>
            <w:tcW w:w="3543" w:type="dxa"/>
          </w:tcPr>
          <w:p>
            <w:pPr>
              <w:rPr>
                <w:rFonts w:ascii="宋体" w:hAnsi="宋体" w:cs="楷体"/>
                <w:b/>
                <w:bCs/>
                <w:color w:val="000000"/>
                <w:sz w:val="24"/>
                <w:szCs w:val="24"/>
              </w:rPr>
            </w:pPr>
            <w:r>
              <w:rPr>
                <w:rFonts w:ascii="宋体" w:hAnsi="宋体" w:cs="楷体"/>
                <w:b/>
                <w:bCs/>
                <w:color w:val="000000"/>
                <w:sz w:val="24"/>
                <w:szCs w:val="24"/>
              </w:rPr>
              <w:t>牢牢把握“有效衔接”这一方法。</w:t>
            </w:r>
          </w:p>
          <w:p>
            <w:pPr>
              <w:rPr>
                <w:rFonts w:ascii="宋体" w:hAnsi="宋体" w:cs="楷体"/>
                <w:color w:val="000000"/>
                <w:sz w:val="24"/>
                <w:szCs w:val="24"/>
              </w:rPr>
            </w:pPr>
            <w:r>
              <w:rPr>
                <w:rFonts w:ascii="宋体" w:hAnsi="宋体" w:cs="楷体"/>
                <w:color w:val="000000"/>
                <w:sz w:val="24"/>
                <w:szCs w:val="24"/>
              </w:rPr>
              <w:t>1）夯实基础“底子”。保持帮扶政策总体稳定，做好工作机制、政策举措、机构队伍等衔接转向。</w:t>
            </w:r>
          </w:p>
          <w:p>
            <w:pPr>
              <w:rPr>
                <w:rFonts w:ascii="宋体" w:hAnsi="宋体" w:cs="楷体"/>
                <w:color w:val="000000"/>
                <w:sz w:val="24"/>
                <w:szCs w:val="24"/>
              </w:rPr>
            </w:pPr>
            <w:r>
              <w:rPr>
                <w:rFonts w:ascii="宋体" w:hAnsi="宋体" w:cs="楷体"/>
                <w:color w:val="000000"/>
                <w:sz w:val="24"/>
                <w:szCs w:val="24"/>
              </w:rPr>
              <w:t>2）做强产业“里子”。以工业思维抓农业，整合资金推动特色产业链式发展，加快形成“两环两带两湖”区域化布局。</w:t>
            </w:r>
          </w:p>
          <w:p>
            <w:pPr>
              <w:rPr>
                <w:rFonts w:ascii="宋体" w:hAnsi="宋体" w:cs="楷体"/>
                <w:color w:val="000000"/>
                <w:sz w:val="24"/>
                <w:szCs w:val="24"/>
              </w:rPr>
            </w:pPr>
            <w:r>
              <w:rPr>
                <w:rFonts w:ascii="宋体" w:hAnsi="宋体" w:cs="楷体"/>
                <w:color w:val="000000"/>
                <w:sz w:val="24"/>
                <w:szCs w:val="24"/>
              </w:rPr>
              <w:t>3）扮靓乡村“面子”。深化“两山”实践基地创建，畅通双向转化通道。</w:t>
            </w:r>
          </w:p>
        </w:tc>
        <w:tc>
          <w:tcPr>
            <w:tcW w:w="3119" w:type="dxa"/>
          </w:tcPr>
          <w:p>
            <w:pPr>
              <w:rPr>
                <w:rFonts w:ascii="宋体" w:hAnsi="宋体" w:cs="楷体"/>
                <w:color w:val="000000"/>
                <w:sz w:val="24"/>
                <w:szCs w:val="24"/>
                <w:shd w:val="clear" w:color="auto" w:fill="DFF8FF"/>
              </w:rPr>
            </w:pPr>
            <w:r>
              <w:rPr>
                <w:rFonts w:ascii="宋体" w:hAnsi="宋体" w:cs="楷体"/>
                <w:b/>
                <w:bCs/>
                <w:color w:val="000000"/>
                <w:sz w:val="24"/>
                <w:szCs w:val="24"/>
              </w:rPr>
              <w:t>新法新规推进全新工作安排。</w:t>
            </w:r>
          </w:p>
          <w:p>
            <w:pPr>
              <w:rPr>
                <w:rFonts w:ascii="宋体" w:hAnsi="宋体" w:cs="楷体"/>
                <w:color w:val="000000"/>
                <w:sz w:val="24"/>
                <w:szCs w:val="24"/>
              </w:rPr>
            </w:pPr>
            <w:r>
              <w:rPr>
                <w:rFonts w:ascii="宋体" w:hAnsi="宋体" w:cs="楷体"/>
                <w:color w:val="000000"/>
                <w:sz w:val="24"/>
                <w:szCs w:val="24"/>
              </w:rPr>
              <w:t>1）2021年6月，乡村振兴促进法正式实施，根据该法内容，乡村振兴促进工作将纳入地区经济和社会发展规划，并需要合理建立乡村振兴考核评价和监督检查制度。</w:t>
            </w:r>
          </w:p>
          <w:p>
            <w:pPr>
              <w:rPr>
                <w:rFonts w:ascii="宋体" w:hAnsi="宋体" w:cs="楷体"/>
                <w:color w:val="000000"/>
                <w:sz w:val="24"/>
                <w:szCs w:val="24"/>
              </w:rPr>
            </w:pPr>
            <w:r>
              <w:rPr>
                <w:rFonts w:ascii="宋体" w:hAnsi="宋体" w:cs="楷体"/>
                <w:color w:val="000000"/>
                <w:sz w:val="24"/>
                <w:szCs w:val="24"/>
              </w:rPr>
              <w:t>2）结合中央对土地出让收入使用提计的新要求，调整该项资金的使用范围，提高土地出让收入用于农业农村的比例，建立财政投入稳定增长的长效机制。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dxa"/>
            <w:shd w:val="clear" w:color="auto" w:fill="FDE9D9" w:themeFill="accent6" w:themeFillTint="33"/>
          </w:tcPr>
          <w:p>
            <w:pPr>
              <w:rPr>
                <w:rFonts w:ascii="楷体" w:hAnsi="楷体" w:eastAsia="楷体"/>
                <w:szCs w:val="21"/>
              </w:rPr>
            </w:pPr>
          </w:p>
          <w:p>
            <w:pPr>
              <w:jc w:val="center"/>
              <w:rPr>
                <w:rFonts w:ascii="楷体" w:hAnsi="楷体" w:eastAsia="楷体"/>
                <w:szCs w:val="21"/>
              </w:rPr>
            </w:pPr>
          </w:p>
          <w:p>
            <w:pPr>
              <w:jc w:val="center"/>
              <w:rPr>
                <w:rFonts w:ascii="楷体" w:hAnsi="楷体" w:eastAsia="楷体"/>
                <w:szCs w:val="21"/>
              </w:rPr>
            </w:pPr>
          </w:p>
          <w:p>
            <w:pPr>
              <w:jc w:val="center"/>
              <w:rPr>
                <w:rFonts w:asciiTheme="minorEastAsia" w:hAnsiTheme="minorEastAsia" w:eastAsiaTheme="minorEastAsia"/>
                <w:sz w:val="24"/>
                <w:szCs w:val="24"/>
              </w:rPr>
            </w:pPr>
            <w:r>
              <w:rPr>
                <w:rFonts w:asciiTheme="minorEastAsia" w:hAnsiTheme="minorEastAsia" w:eastAsiaTheme="minorEastAsia"/>
                <w:b/>
                <w:sz w:val="24"/>
                <w:szCs w:val="24"/>
              </w:rPr>
              <w:t>发展动能</w:t>
            </w:r>
          </w:p>
        </w:tc>
        <w:tc>
          <w:tcPr>
            <w:tcW w:w="3434" w:type="dxa"/>
          </w:tcPr>
          <w:p>
            <w:pPr>
              <w:rPr>
                <w:rFonts w:ascii="宋体" w:hAnsi="宋体" w:cs="楷体"/>
                <w:b/>
                <w:bCs/>
                <w:color w:val="000000"/>
                <w:sz w:val="24"/>
                <w:szCs w:val="24"/>
              </w:rPr>
            </w:pPr>
            <w:r>
              <w:rPr>
                <w:rFonts w:ascii="宋体" w:hAnsi="宋体" w:cs="楷体"/>
                <w:b/>
                <w:bCs/>
                <w:color w:val="000000"/>
                <w:sz w:val="24"/>
                <w:szCs w:val="24"/>
              </w:rPr>
              <w:t>促进动能培育，发展后劲更加有力。</w:t>
            </w:r>
          </w:p>
          <w:p>
            <w:pPr>
              <w:rPr>
                <w:rFonts w:ascii="宋体" w:hAnsi="宋体" w:cs="楷体"/>
                <w:color w:val="000000"/>
                <w:sz w:val="24"/>
                <w:szCs w:val="24"/>
              </w:rPr>
            </w:pPr>
            <w:r>
              <w:rPr>
                <w:rFonts w:ascii="宋体" w:hAnsi="宋体" w:cs="楷体"/>
                <w:color w:val="000000"/>
                <w:sz w:val="24"/>
                <w:szCs w:val="24"/>
              </w:rPr>
              <w:t>1)实施亿元项目83个，争取上级支持项目159个、40.3亿元，发行专项债17亿元。</w:t>
            </w:r>
          </w:p>
          <w:p>
            <w:pPr>
              <w:rPr>
                <w:rFonts w:ascii="宋体" w:hAnsi="宋体" w:cs="楷体"/>
                <w:color w:val="000000"/>
                <w:sz w:val="24"/>
                <w:szCs w:val="24"/>
              </w:rPr>
            </w:pPr>
            <w:r>
              <w:rPr>
                <w:rFonts w:ascii="宋体" w:hAnsi="宋体" w:cs="楷体"/>
                <w:color w:val="000000"/>
                <w:sz w:val="24"/>
                <w:szCs w:val="24"/>
              </w:rPr>
              <w:t>2）精准发力“双招双引”，新引进项目172个(包括10亿元以上10个），到位境内资金142.7亿元、增长29.6%。</w:t>
            </w:r>
          </w:p>
          <w:p>
            <w:pPr>
              <w:rPr>
                <w:rFonts w:ascii="宋体" w:hAnsi="宋体" w:cs="楷体"/>
                <w:color w:val="000000"/>
                <w:sz w:val="24"/>
                <w:szCs w:val="24"/>
              </w:rPr>
            </w:pPr>
            <w:r>
              <w:rPr>
                <w:rFonts w:ascii="宋体" w:hAnsi="宋体" w:cs="楷体"/>
                <w:color w:val="000000"/>
                <w:sz w:val="24"/>
                <w:szCs w:val="24"/>
              </w:rPr>
              <w:t>3）纵深推进党建引领信用村建设，完成14.6万农户、1,700余家新型主体和221个村集体经济组织信用评级，授信近20亿元，发放信用贷款6.4亿元。</w:t>
            </w:r>
          </w:p>
        </w:tc>
        <w:tc>
          <w:tcPr>
            <w:tcW w:w="3543" w:type="dxa"/>
          </w:tcPr>
          <w:p>
            <w:pPr>
              <w:rPr>
                <w:rFonts w:ascii="宋体" w:hAnsi="宋体" w:cs="楷体"/>
                <w:b/>
                <w:bCs/>
                <w:color w:val="000000"/>
                <w:sz w:val="24"/>
                <w:szCs w:val="24"/>
              </w:rPr>
            </w:pPr>
            <w:r>
              <w:rPr>
                <w:rFonts w:ascii="宋体" w:hAnsi="宋体" w:cs="楷体"/>
                <w:b/>
                <w:bCs/>
                <w:color w:val="000000"/>
                <w:sz w:val="24"/>
                <w:szCs w:val="24"/>
              </w:rPr>
              <w:t>牢牢把握“有效投资”这一关键。</w:t>
            </w:r>
          </w:p>
          <w:p>
            <w:pPr>
              <w:rPr>
                <w:rFonts w:ascii="楷体" w:hAnsi="楷体" w:eastAsia="楷体" w:cs="楷体"/>
                <w:color w:val="000000"/>
                <w:szCs w:val="21"/>
              </w:rPr>
            </w:pPr>
            <w:r>
              <w:rPr>
                <w:rFonts w:ascii="宋体" w:hAnsi="宋体" w:cs="楷体"/>
                <w:color w:val="000000"/>
                <w:sz w:val="24"/>
                <w:szCs w:val="24"/>
              </w:rPr>
              <w:t>坚持投资为纲、项目为王，固定资产投资年均增长12%以上。对基础建设和公共服务设施，主要靠争取项目和整合资金；对产业发展，坚持“双招双引”，积极引进牵动性大项目。</w:t>
            </w:r>
          </w:p>
          <w:p>
            <w:pPr>
              <w:jc w:val="center"/>
              <w:rPr>
                <w:rFonts w:ascii="楷体" w:hAnsi="楷体" w:eastAsia="楷体" w:cs="楷体"/>
                <w:color w:val="000000"/>
                <w:szCs w:val="21"/>
              </w:rPr>
            </w:pPr>
            <w:r>
              <w:rPr>
                <w:rFonts w:ascii="楷体" w:hAnsi="楷体" w:eastAsia="楷体" w:cs="楷体"/>
                <w:color w:val="000000"/>
                <w:szCs w:val="21"/>
              </w:rPr>
              <w:drawing>
                <wp:inline distT="0" distB="0" distL="0" distR="0">
                  <wp:extent cx="1729105" cy="977900"/>
                  <wp:effectExtent l="38100" t="38100" r="99695" b="8890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1729105" cy="978406"/>
                          </a:xfrm>
                          <a:prstGeom prst="rect">
                            <a:avLst/>
                          </a:prstGeom>
                          <a:effectLst>
                            <a:outerShdw blurRad="50800" dist="38100" dir="2700000" algn="tl" rotWithShape="0">
                              <a:prstClr val="black">
                                <a:alpha val="40000"/>
                              </a:prstClr>
                            </a:outerShdw>
                          </a:effectLst>
                        </pic:spPr>
                      </pic:pic>
                    </a:graphicData>
                  </a:graphic>
                </wp:inline>
              </w:drawing>
            </w:r>
          </w:p>
          <w:p>
            <w:pPr>
              <w:jc w:val="center"/>
              <w:rPr>
                <w:rFonts w:cs="楷体" w:asciiTheme="minorEastAsia" w:hAnsiTheme="minorEastAsia" w:eastAsiaTheme="minorEastAsia"/>
                <w:color w:val="000000"/>
                <w:sz w:val="24"/>
                <w:szCs w:val="24"/>
              </w:rPr>
            </w:pPr>
            <w:r>
              <w:rPr>
                <w:rFonts w:hint="eastAsia" w:cs="楷体" w:asciiTheme="minorEastAsia" w:hAnsiTheme="minorEastAsia" w:eastAsiaTheme="minorEastAsia"/>
                <w:color w:val="000000"/>
                <w:sz w:val="24"/>
                <w:szCs w:val="24"/>
              </w:rPr>
              <w:t>图</w:t>
            </w:r>
            <w:r>
              <w:rPr>
                <w:rFonts w:cs="楷体" w:asciiTheme="minorEastAsia" w:hAnsiTheme="minorEastAsia" w:eastAsiaTheme="minorEastAsia"/>
                <w:color w:val="000000"/>
                <w:sz w:val="24"/>
                <w:szCs w:val="24"/>
              </w:rPr>
              <w:t>2</w:t>
            </w:r>
            <w:r>
              <w:rPr>
                <w:rFonts w:hint="eastAsia" w:cs="楷体" w:asciiTheme="minorEastAsia" w:hAnsiTheme="minorEastAsia" w:eastAsiaTheme="minorEastAsia"/>
                <w:color w:val="000000"/>
                <w:sz w:val="24"/>
                <w:szCs w:val="24"/>
              </w:rPr>
              <w:t xml:space="preserve"> </w:t>
            </w:r>
            <w:r>
              <w:rPr>
                <w:rFonts w:cs="楷体" w:asciiTheme="minorEastAsia" w:hAnsiTheme="minorEastAsia" w:eastAsiaTheme="minorEastAsia"/>
                <w:color w:val="000000"/>
                <w:sz w:val="24"/>
                <w:szCs w:val="24"/>
              </w:rPr>
              <w:t>光伏产业园为农业生产大棚赋能</w:t>
            </w:r>
          </w:p>
        </w:tc>
        <w:tc>
          <w:tcPr>
            <w:tcW w:w="3119" w:type="dxa"/>
          </w:tcPr>
          <w:p>
            <w:pPr>
              <w:rPr>
                <w:rFonts w:ascii="宋体" w:hAnsi="宋体" w:cs="楷体"/>
                <w:b/>
                <w:bCs/>
                <w:color w:val="000000"/>
                <w:sz w:val="24"/>
                <w:szCs w:val="24"/>
              </w:rPr>
            </w:pPr>
            <w:r>
              <w:rPr>
                <w:rFonts w:ascii="宋体" w:hAnsi="宋体" w:cs="楷体"/>
                <w:b/>
                <w:bCs/>
                <w:color w:val="000000"/>
                <w:sz w:val="24"/>
                <w:szCs w:val="24"/>
              </w:rPr>
              <w:t>以企业本身为导向，结合需求提供服务、攻克难点。</w:t>
            </w:r>
          </w:p>
          <w:p>
            <w:pPr>
              <w:rPr>
                <w:rFonts w:ascii="宋体" w:hAnsi="宋体" w:cs="楷体"/>
                <w:color w:val="000000"/>
                <w:sz w:val="24"/>
                <w:szCs w:val="24"/>
              </w:rPr>
            </w:pPr>
            <w:r>
              <w:rPr>
                <w:rFonts w:ascii="宋体" w:hAnsi="宋体" w:cs="楷体"/>
                <w:color w:val="000000"/>
                <w:sz w:val="24"/>
                <w:szCs w:val="24"/>
              </w:rPr>
              <w:t>1）灵活运用“双招双引”政策，在保证主导产业的生产设备和管理理念最优化、最先进的同时，着手建立招商服务局，重点解决主导产业及企业的用工和要素保障问题。</w:t>
            </w:r>
          </w:p>
          <w:p>
            <w:pPr>
              <w:rPr>
                <w:rFonts w:ascii="宋体" w:hAnsi="宋体" w:cs="楷体"/>
                <w:color w:val="000000"/>
                <w:szCs w:val="21"/>
              </w:rPr>
            </w:pPr>
            <w:r>
              <w:rPr>
                <w:rFonts w:ascii="宋体" w:hAnsi="宋体" w:cs="楷体"/>
                <w:color w:val="000000"/>
                <w:sz w:val="24"/>
                <w:szCs w:val="24"/>
              </w:rPr>
              <w:t>2）坚持实施创新驱动，探索使用大数据、互联网和人工智能等新技术、新业态改造传统产业，提升本土工业企业自主创新力和核心竞争力。并在不断优化营商环境的同时，结合企业需求有效降低综合成本。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dxa"/>
            <w:shd w:val="clear" w:color="auto" w:fill="FDE9D9" w:themeFill="accent6" w:themeFillTint="33"/>
          </w:tcPr>
          <w:p>
            <w:pPr>
              <w:jc w:val="center"/>
              <w:rPr>
                <w:rFonts w:ascii="楷体" w:hAnsi="楷体" w:eastAsia="楷体"/>
                <w:szCs w:val="21"/>
              </w:rPr>
            </w:pPr>
          </w:p>
          <w:p>
            <w:pPr>
              <w:jc w:val="center"/>
              <w:rPr>
                <w:rFonts w:ascii="楷体" w:hAnsi="楷体" w:eastAsia="楷体"/>
                <w:szCs w:val="21"/>
              </w:rPr>
            </w:pPr>
          </w:p>
          <w:p>
            <w:pPr>
              <w:jc w:val="center"/>
              <w:rPr>
                <w:rFonts w:ascii="楷体" w:hAnsi="楷体" w:eastAsia="楷体"/>
                <w:szCs w:val="21"/>
              </w:rPr>
            </w:pPr>
          </w:p>
          <w:p>
            <w:pPr>
              <w:jc w:val="center"/>
              <w:rPr>
                <w:rFonts w:ascii="楷体" w:hAnsi="楷体" w:eastAsia="楷体"/>
                <w:szCs w:val="21"/>
              </w:rPr>
            </w:pPr>
          </w:p>
          <w:p>
            <w:pPr>
              <w:jc w:val="center"/>
              <w:rPr>
                <w:rFonts w:ascii="楷体" w:hAnsi="楷体" w:eastAsia="楷体"/>
                <w:szCs w:val="21"/>
              </w:rPr>
            </w:pPr>
          </w:p>
          <w:p>
            <w:pPr>
              <w:jc w:val="center"/>
              <w:rPr>
                <w:rFonts w:ascii="楷体" w:hAnsi="楷体" w:eastAsia="楷体"/>
                <w:b/>
                <w:szCs w:val="21"/>
              </w:rPr>
            </w:pPr>
            <w:r>
              <w:rPr>
                <w:rFonts w:ascii="楷体" w:hAnsi="楷体" w:eastAsia="楷体"/>
                <w:b/>
                <w:szCs w:val="21"/>
              </w:rPr>
              <w:t>生态环境</w:t>
            </w:r>
          </w:p>
        </w:tc>
        <w:tc>
          <w:tcPr>
            <w:tcW w:w="3434" w:type="dxa"/>
          </w:tcPr>
          <w:p>
            <w:pPr>
              <w:rPr>
                <w:rFonts w:ascii="宋体" w:hAnsi="宋体" w:cs="楷体"/>
                <w:b/>
                <w:bCs/>
                <w:color w:val="000000"/>
                <w:sz w:val="24"/>
                <w:szCs w:val="24"/>
              </w:rPr>
            </w:pPr>
            <w:r>
              <w:rPr>
                <w:rFonts w:ascii="宋体" w:hAnsi="宋体" w:cs="楷体"/>
                <w:b/>
                <w:bCs/>
                <w:color w:val="000000"/>
                <w:sz w:val="24"/>
                <w:szCs w:val="24"/>
              </w:rPr>
              <w:t>落实“两山”实践，绿色优势更加彰显。</w:t>
            </w:r>
          </w:p>
          <w:p>
            <w:pPr>
              <w:rPr>
                <w:rFonts w:ascii="宋体" w:hAnsi="宋体" w:cs="楷体"/>
                <w:color w:val="000000"/>
                <w:sz w:val="24"/>
                <w:szCs w:val="24"/>
              </w:rPr>
            </w:pPr>
            <w:r>
              <w:rPr>
                <w:rFonts w:ascii="宋体" w:hAnsi="宋体" w:cs="楷体"/>
                <w:color w:val="000000"/>
                <w:sz w:val="24"/>
                <w:szCs w:val="24"/>
              </w:rPr>
              <w:t>1）入选“绿水青山就是金山银山”实践创新基地，为同批次全省唯一县，初步形成以茶叶、中药和生态旅游业为主线，生产、生态、生活“三生”融合的“两山”转化模式。</w:t>
            </w:r>
          </w:p>
          <w:p>
            <w:pPr>
              <w:rPr>
                <w:rFonts w:ascii="宋体" w:hAnsi="宋体" w:cs="楷体"/>
                <w:color w:val="000000"/>
                <w:sz w:val="24"/>
                <w:szCs w:val="24"/>
              </w:rPr>
            </w:pPr>
            <w:r>
              <w:rPr>
                <w:rFonts w:ascii="宋体" w:hAnsi="宋体" w:cs="楷体"/>
                <w:color w:val="000000"/>
                <w:sz w:val="24"/>
                <w:szCs w:val="24"/>
              </w:rPr>
              <w:t>2）打造空气、水、土壤污染防治升级版，空气质量优良率90.5%、较上年提高1.9个百分点；改造7个乡镇集镇污水处理设施，规模养殖场粪污处理设施配套率100%。</w:t>
            </w:r>
          </w:p>
          <w:p>
            <w:pPr>
              <w:rPr>
                <w:rFonts w:ascii="宋体" w:hAnsi="宋体"/>
                <w:sz w:val="24"/>
                <w:szCs w:val="24"/>
              </w:rPr>
            </w:pPr>
            <w:r>
              <w:rPr>
                <w:rFonts w:ascii="宋体" w:hAnsi="宋体" w:cs="楷体"/>
                <w:color w:val="000000"/>
                <w:sz w:val="24"/>
                <w:szCs w:val="24"/>
              </w:rPr>
              <w:t>3）深化“两个替代”，创成全国农作物病虫害绿色防控示范县；大鲵自然保护区调整获省政府批准，长江十年禁捕有效落实。深化“河长制”“林长制”，推进“田长制”“路长制”。</w:t>
            </w:r>
          </w:p>
        </w:tc>
        <w:tc>
          <w:tcPr>
            <w:tcW w:w="3543" w:type="dxa"/>
          </w:tcPr>
          <w:p>
            <w:pPr>
              <w:rPr>
                <w:rFonts w:ascii="宋体" w:hAnsi="宋体" w:cs="楷体"/>
                <w:color w:val="000000"/>
                <w:sz w:val="24"/>
                <w:szCs w:val="24"/>
              </w:rPr>
            </w:pPr>
            <w:r>
              <w:rPr>
                <w:rFonts w:ascii="宋体" w:hAnsi="宋体" w:cs="楷体"/>
                <w:b/>
                <w:bCs/>
                <w:color w:val="000000"/>
                <w:sz w:val="24"/>
                <w:szCs w:val="24"/>
              </w:rPr>
              <w:t>牢牢把握“生态优先”这一要求。</w:t>
            </w:r>
            <w:r>
              <w:rPr>
                <w:rFonts w:ascii="宋体" w:hAnsi="宋体" w:cs="楷体"/>
                <w:color w:val="000000"/>
                <w:sz w:val="24"/>
                <w:szCs w:val="24"/>
              </w:rPr>
              <w:t>推动减污降碳协同增效，有序推进碳达峰碳中和，确保生态指标领跑全省；生动实践“两山”理念，大力推进“两山”转化，打造绿色振兴新高地。</w:t>
            </w:r>
          </w:p>
          <w:p>
            <w:pPr>
              <w:jc w:val="center"/>
              <w:rPr>
                <w:rFonts w:ascii="宋体" w:hAnsi="宋体" w:cs="楷体"/>
                <w:color w:val="000000"/>
                <w:szCs w:val="21"/>
              </w:rPr>
            </w:pPr>
            <w:r>
              <w:rPr>
                <w:rFonts w:ascii="宋体" w:hAnsi="宋体" w:cs="楷体"/>
                <w:color w:val="000000"/>
                <w:szCs w:val="21"/>
              </w:rPr>
              <w:drawing>
                <wp:inline distT="0" distB="0" distL="0" distR="0">
                  <wp:extent cx="1729105" cy="966470"/>
                  <wp:effectExtent l="38100" t="38100" r="99695" b="100330"/>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1"/>
                          <a:stretch>
                            <a:fillRect/>
                          </a:stretch>
                        </pic:blipFill>
                        <pic:spPr>
                          <a:xfrm>
                            <a:off x="0" y="0"/>
                            <a:ext cx="1729105" cy="966622"/>
                          </a:xfrm>
                          <a:prstGeom prst="rect">
                            <a:avLst/>
                          </a:prstGeom>
                          <a:effectLst>
                            <a:outerShdw blurRad="50800" dist="38100" dir="2700000" algn="tl" rotWithShape="0">
                              <a:prstClr val="black">
                                <a:alpha val="40000"/>
                              </a:prstClr>
                            </a:outerShdw>
                          </a:effectLst>
                        </pic:spPr>
                      </pic:pic>
                    </a:graphicData>
                  </a:graphic>
                </wp:inline>
              </w:drawing>
            </w:r>
          </w:p>
          <w:p>
            <w:pPr>
              <w:jc w:val="center"/>
              <w:rPr>
                <w:rFonts w:ascii="宋体" w:hAnsi="宋体" w:cs="楷体"/>
                <w:color w:val="000000"/>
                <w:sz w:val="24"/>
                <w:szCs w:val="24"/>
              </w:rPr>
            </w:pPr>
            <w:r>
              <w:rPr>
                <w:rFonts w:hint="eastAsia" w:ascii="宋体" w:hAnsi="宋体" w:cs="楷体"/>
                <w:color w:val="000000"/>
                <w:sz w:val="24"/>
                <w:szCs w:val="24"/>
              </w:rPr>
              <w:t>图</w:t>
            </w:r>
            <w:r>
              <w:rPr>
                <w:rFonts w:ascii="宋体" w:hAnsi="宋体" w:cs="楷体"/>
                <w:color w:val="000000"/>
                <w:sz w:val="24"/>
                <w:szCs w:val="24"/>
              </w:rPr>
              <w:t>3</w:t>
            </w:r>
            <w:r>
              <w:rPr>
                <w:rFonts w:hint="eastAsia" w:ascii="宋体" w:hAnsi="宋体" w:cs="楷体"/>
                <w:color w:val="000000"/>
                <w:sz w:val="24"/>
                <w:szCs w:val="24"/>
              </w:rPr>
              <w:t xml:space="preserve"> </w:t>
            </w:r>
            <w:r>
              <w:rPr>
                <w:rFonts w:ascii="宋体" w:hAnsi="宋体" w:cs="楷体"/>
                <w:color w:val="000000"/>
                <w:sz w:val="24"/>
                <w:szCs w:val="24"/>
              </w:rPr>
              <w:t>航拍西茶谷梯田风光</w:t>
            </w:r>
          </w:p>
          <w:p>
            <w:pPr>
              <w:jc w:val="center"/>
              <w:rPr>
                <w:rFonts w:ascii="宋体" w:hAnsi="宋体" w:cs="楷体"/>
                <w:color w:val="000000"/>
                <w:szCs w:val="21"/>
              </w:rPr>
            </w:pPr>
            <w:r>
              <w:rPr>
                <w:rFonts w:ascii="宋体" w:hAnsi="宋体" w:cs="楷体"/>
                <w:color w:val="000000"/>
                <w:szCs w:val="21"/>
              </w:rPr>
              <w:drawing>
                <wp:inline distT="0" distB="0" distL="0" distR="0">
                  <wp:extent cx="1729105" cy="970280"/>
                  <wp:effectExtent l="38100" t="38100" r="99695" b="96520"/>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2"/>
                          <a:srcRect/>
                          <a:stretch>
                            <a:fillRect/>
                          </a:stretch>
                        </pic:blipFill>
                        <pic:spPr>
                          <a:xfrm>
                            <a:off x="0" y="0"/>
                            <a:ext cx="1729105" cy="970726"/>
                          </a:xfrm>
                          <a:prstGeom prst="rect">
                            <a:avLst/>
                          </a:prstGeom>
                          <a:effectLst>
                            <a:outerShdw blurRad="50800" dist="38100" dir="2700000" algn="tl" rotWithShape="0">
                              <a:prstClr val="black">
                                <a:alpha val="40000"/>
                              </a:prstClr>
                            </a:outerShdw>
                          </a:effectLst>
                        </pic:spPr>
                      </pic:pic>
                    </a:graphicData>
                  </a:graphic>
                </wp:inline>
              </w:drawing>
            </w:r>
          </w:p>
          <w:p>
            <w:pPr>
              <w:jc w:val="center"/>
              <w:rPr>
                <w:rFonts w:ascii="宋体" w:hAnsi="宋体" w:cs="楷体"/>
                <w:color w:val="000000"/>
                <w:sz w:val="24"/>
                <w:szCs w:val="24"/>
              </w:rPr>
            </w:pPr>
            <w:r>
              <w:rPr>
                <w:rFonts w:hint="eastAsia" w:ascii="宋体" w:hAnsi="宋体" w:cs="楷体"/>
                <w:color w:val="000000"/>
                <w:sz w:val="24"/>
                <w:szCs w:val="24"/>
              </w:rPr>
              <w:t>图</w:t>
            </w:r>
            <w:r>
              <w:rPr>
                <w:rFonts w:ascii="宋体" w:hAnsi="宋体" w:cs="楷体"/>
                <w:color w:val="000000"/>
                <w:sz w:val="24"/>
                <w:szCs w:val="24"/>
              </w:rPr>
              <w:t>4</w:t>
            </w:r>
            <w:r>
              <w:rPr>
                <w:rFonts w:hint="eastAsia" w:ascii="宋体" w:hAnsi="宋体" w:cs="楷体"/>
                <w:color w:val="000000"/>
                <w:sz w:val="24"/>
                <w:szCs w:val="24"/>
              </w:rPr>
              <w:t xml:space="preserve"> 航</w:t>
            </w:r>
            <w:r>
              <w:rPr>
                <w:rFonts w:ascii="宋体" w:hAnsi="宋体" w:cs="楷体"/>
                <w:color w:val="000000"/>
                <w:sz w:val="24"/>
                <w:szCs w:val="24"/>
              </w:rPr>
              <w:t>拍南溪九龙山风光</w:t>
            </w:r>
          </w:p>
        </w:tc>
        <w:tc>
          <w:tcPr>
            <w:tcW w:w="3119" w:type="dxa"/>
          </w:tcPr>
          <w:p>
            <w:pPr>
              <w:rPr>
                <w:rFonts w:ascii="宋体" w:hAnsi="宋体" w:cs="楷体"/>
                <w:b/>
                <w:bCs/>
                <w:color w:val="000000"/>
                <w:sz w:val="24"/>
                <w:szCs w:val="24"/>
              </w:rPr>
            </w:pPr>
            <w:r>
              <w:rPr>
                <w:rFonts w:ascii="宋体" w:hAnsi="宋体" w:cs="楷体"/>
                <w:b/>
                <w:bCs/>
                <w:color w:val="000000"/>
                <w:sz w:val="24"/>
                <w:szCs w:val="24"/>
              </w:rPr>
              <w:t>提高意识和加强监管两手同时抓。</w:t>
            </w:r>
          </w:p>
          <w:p>
            <w:pPr>
              <w:rPr>
                <w:rFonts w:ascii="宋体" w:hAnsi="宋体" w:cs="楷体"/>
                <w:color w:val="000000"/>
                <w:sz w:val="24"/>
                <w:szCs w:val="24"/>
              </w:rPr>
            </w:pPr>
            <w:r>
              <w:rPr>
                <w:rFonts w:ascii="宋体" w:hAnsi="宋体" w:cs="楷体"/>
                <w:color w:val="000000"/>
                <w:sz w:val="24"/>
                <w:szCs w:val="24"/>
              </w:rPr>
              <w:t>1）规范生态执法工作，以能力建设，深入打造生态环境保护铁军主力军；以精准执法，深入打好污染防治攻坚战；以严格执法，推进环境执法效能提升，更好为民办实事为企优环境。</w:t>
            </w:r>
          </w:p>
          <w:p>
            <w:pPr>
              <w:rPr>
                <w:rFonts w:ascii="宋体" w:hAnsi="宋体" w:cs="楷体"/>
                <w:color w:val="000000"/>
                <w:szCs w:val="21"/>
              </w:rPr>
            </w:pPr>
            <w:r>
              <w:rPr>
                <w:rFonts w:ascii="宋体" w:hAnsi="宋体" w:cs="楷体"/>
                <w:color w:val="000000"/>
                <w:sz w:val="24"/>
                <w:szCs w:val="24"/>
              </w:rPr>
              <w:t>2）国民生态环保意识尚未普及到位，相关监督管理措施亟需跟进，应真正完善落实各乡镇设立的生态环境举报咨询办公室服务。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 w:type="dxa"/>
            <w:shd w:val="clear" w:color="auto" w:fill="FDE9D9" w:themeFill="accent6" w:themeFillTint="33"/>
          </w:tcPr>
          <w:p>
            <w:pPr>
              <w:jc w:val="center"/>
              <w:rPr>
                <w:rFonts w:ascii="楷体" w:hAnsi="楷体" w:eastAsia="楷体"/>
                <w:b/>
                <w:szCs w:val="21"/>
              </w:rPr>
            </w:pPr>
          </w:p>
          <w:p>
            <w:pPr>
              <w:jc w:val="center"/>
              <w:rPr>
                <w:rFonts w:ascii="楷体" w:hAnsi="楷体" w:eastAsia="楷体"/>
                <w:b/>
                <w:szCs w:val="21"/>
              </w:rPr>
            </w:pPr>
          </w:p>
          <w:p>
            <w:pPr>
              <w:jc w:val="center"/>
              <w:rPr>
                <w:rFonts w:ascii="楷体" w:hAnsi="楷体" w:eastAsia="楷体"/>
                <w:b/>
                <w:szCs w:val="21"/>
              </w:rPr>
            </w:pPr>
          </w:p>
          <w:p>
            <w:pPr>
              <w:jc w:val="center"/>
              <w:rPr>
                <w:rFonts w:ascii="楷体" w:hAnsi="楷体" w:eastAsia="楷体"/>
                <w:b/>
                <w:szCs w:val="21"/>
              </w:rPr>
            </w:pPr>
          </w:p>
          <w:p>
            <w:pPr>
              <w:jc w:val="center"/>
              <w:rPr>
                <w:rFonts w:ascii="楷体" w:hAnsi="楷体" w:eastAsia="楷体"/>
                <w:b/>
                <w:szCs w:val="21"/>
              </w:rPr>
            </w:pPr>
          </w:p>
          <w:p>
            <w:pPr>
              <w:jc w:val="center"/>
              <w:rPr>
                <w:rFonts w:ascii="楷体" w:hAnsi="楷体" w:eastAsia="楷体"/>
                <w:b/>
                <w:szCs w:val="21"/>
              </w:rPr>
            </w:pPr>
            <w:r>
              <w:rPr>
                <w:rFonts w:ascii="楷体" w:hAnsi="楷体" w:eastAsia="楷体"/>
                <w:b/>
                <w:szCs w:val="21"/>
              </w:rPr>
              <w:t>社会人文</w:t>
            </w:r>
          </w:p>
        </w:tc>
        <w:tc>
          <w:tcPr>
            <w:tcW w:w="3434" w:type="dxa"/>
          </w:tcPr>
          <w:p>
            <w:pPr>
              <w:rPr>
                <w:rFonts w:ascii="宋体" w:hAnsi="宋体" w:cs="楷体"/>
                <w:b/>
                <w:bCs/>
                <w:color w:val="000000"/>
                <w:sz w:val="24"/>
                <w:szCs w:val="24"/>
              </w:rPr>
            </w:pPr>
            <w:r>
              <w:rPr>
                <w:rFonts w:ascii="宋体" w:hAnsi="宋体" w:cs="楷体"/>
                <w:b/>
                <w:bCs/>
                <w:color w:val="000000"/>
                <w:sz w:val="24"/>
                <w:szCs w:val="24"/>
              </w:rPr>
              <w:t>强化社会事业，人民生活更加幸福。</w:t>
            </w:r>
          </w:p>
          <w:p>
            <w:pPr>
              <w:rPr>
                <w:rFonts w:ascii="宋体" w:hAnsi="宋体" w:cs="楷体"/>
                <w:color w:val="000000"/>
                <w:sz w:val="24"/>
                <w:szCs w:val="24"/>
              </w:rPr>
            </w:pPr>
            <w:r>
              <w:rPr>
                <w:rFonts w:ascii="宋体" w:hAnsi="宋体" w:cs="楷体"/>
                <w:color w:val="000000"/>
                <w:sz w:val="24"/>
                <w:szCs w:val="24"/>
              </w:rPr>
              <w:t>1）投入资金17.58亿元，实施33项民生工程。创新“乡镇+企业”订制招工服务联动机制；离退休人员和居民基础养老金、城乡低保标准再次提高，特困、失能人员集中供养率稳步提升。</w:t>
            </w:r>
          </w:p>
          <w:p>
            <w:pPr>
              <w:rPr>
                <w:rFonts w:ascii="宋体" w:hAnsi="宋体" w:cs="楷体"/>
                <w:color w:val="000000"/>
                <w:sz w:val="24"/>
                <w:szCs w:val="24"/>
              </w:rPr>
            </w:pPr>
            <w:r>
              <w:rPr>
                <w:rFonts w:ascii="宋体" w:hAnsi="宋体" w:cs="楷体"/>
                <w:color w:val="000000"/>
                <w:sz w:val="24"/>
                <w:szCs w:val="24"/>
              </w:rPr>
              <w:t>2）建立“四位一体”医疗保障制度体系，医保资金由超支变为结余。有效应对周边疫情，加强常态化防控，累计接种疫苗117.8万剂次。</w:t>
            </w:r>
          </w:p>
          <w:p>
            <w:pPr>
              <w:rPr>
                <w:rFonts w:ascii="宋体" w:hAnsi="宋体" w:cs="楷体"/>
                <w:color w:val="000000"/>
                <w:sz w:val="24"/>
                <w:szCs w:val="24"/>
              </w:rPr>
            </w:pPr>
            <w:r>
              <w:rPr>
                <w:rFonts w:ascii="宋体" w:hAnsi="宋体" w:cs="楷体"/>
                <w:color w:val="000000"/>
                <w:sz w:val="24"/>
                <w:szCs w:val="24"/>
              </w:rPr>
              <w:t>3）启动学前教育普及普惠县创建，智慧学校实现全覆盖，“双减”工作落实到位。</w:t>
            </w:r>
          </w:p>
          <w:p>
            <w:pPr>
              <w:rPr>
                <w:rFonts w:ascii="宋体" w:hAnsi="宋体" w:cs="楷体"/>
                <w:color w:val="000000"/>
                <w:sz w:val="24"/>
                <w:szCs w:val="24"/>
              </w:rPr>
            </w:pPr>
            <w:r>
              <w:rPr>
                <w:rFonts w:ascii="宋体" w:hAnsi="宋体" w:cs="楷体"/>
                <w:color w:val="000000"/>
                <w:sz w:val="24"/>
                <w:szCs w:val="24"/>
              </w:rPr>
              <w:t>4）完成全国首批红色基因库试点任务，顺利通过全省双拥模范县验收。出版一批红色书籍，市运会团体项目首次夺冠。</w:t>
            </w:r>
          </w:p>
        </w:tc>
        <w:tc>
          <w:tcPr>
            <w:tcW w:w="3543" w:type="dxa"/>
          </w:tcPr>
          <w:p>
            <w:pPr>
              <w:rPr>
                <w:rFonts w:ascii="宋体" w:hAnsi="宋体" w:cs="楷体"/>
                <w:b/>
                <w:bCs/>
                <w:color w:val="000000"/>
                <w:sz w:val="24"/>
                <w:szCs w:val="24"/>
              </w:rPr>
            </w:pPr>
            <w:r>
              <w:rPr>
                <w:rFonts w:ascii="宋体" w:hAnsi="宋体" w:cs="楷体"/>
                <w:b/>
                <w:bCs/>
                <w:color w:val="000000"/>
                <w:sz w:val="24"/>
                <w:szCs w:val="24"/>
              </w:rPr>
              <w:t>牢牢把握“人民至上”这一宗旨。</w:t>
            </w:r>
          </w:p>
          <w:p>
            <w:pPr>
              <w:rPr>
                <w:rFonts w:ascii="宋体" w:hAnsi="宋体" w:cs="楷体"/>
                <w:color w:val="000000"/>
                <w:szCs w:val="21"/>
              </w:rPr>
            </w:pPr>
            <w:r>
              <w:rPr>
                <w:rFonts w:ascii="宋体" w:hAnsi="宋体" w:cs="楷体"/>
                <w:color w:val="000000"/>
                <w:sz w:val="24"/>
                <w:szCs w:val="24"/>
              </w:rPr>
              <w:t>加强基础性、普惠性、兜底性民生保障建设，精准提供基本公共服务，确保民生指标保持全省前列。正确把握共同富裕的战略目标和实践途径，努力奋斗做大“蛋糕”，合理安排切好“蛋糕”。</w:t>
            </w:r>
          </w:p>
          <w:p>
            <w:pPr>
              <w:jc w:val="center"/>
              <w:rPr>
                <w:rFonts w:ascii="宋体" w:hAnsi="宋体" w:cs="楷体"/>
                <w:color w:val="000000"/>
                <w:szCs w:val="21"/>
              </w:rPr>
            </w:pPr>
            <w:r>
              <w:rPr>
                <w:rFonts w:ascii="宋体" w:hAnsi="宋体" w:cs="楷体"/>
                <w:color w:val="000000"/>
                <w:szCs w:val="21"/>
              </w:rPr>
              <w:drawing>
                <wp:inline distT="0" distB="0" distL="0" distR="0">
                  <wp:extent cx="1729105" cy="1127125"/>
                  <wp:effectExtent l="38100" t="38100" r="99695" b="9207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1729105" cy="1127442"/>
                          </a:xfrm>
                          <a:prstGeom prst="rect">
                            <a:avLst/>
                          </a:prstGeom>
                          <a:effectLst>
                            <a:outerShdw blurRad="50800" dist="38100" dir="2700000" algn="tl" rotWithShape="0">
                              <a:prstClr val="black">
                                <a:alpha val="40000"/>
                              </a:prstClr>
                            </a:outerShdw>
                          </a:effectLst>
                        </pic:spPr>
                      </pic:pic>
                    </a:graphicData>
                  </a:graphic>
                </wp:inline>
              </w:drawing>
            </w:r>
          </w:p>
          <w:p>
            <w:pPr>
              <w:jc w:val="center"/>
              <w:rPr>
                <w:rFonts w:ascii="宋体" w:hAnsi="宋体" w:cs="楷体"/>
                <w:color w:val="000000"/>
                <w:sz w:val="24"/>
                <w:szCs w:val="24"/>
              </w:rPr>
            </w:pPr>
            <w:r>
              <w:rPr>
                <w:rFonts w:hint="eastAsia" w:ascii="宋体" w:hAnsi="宋体" w:cs="楷体"/>
                <w:color w:val="000000"/>
                <w:sz w:val="24"/>
                <w:szCs w:val="24"/>
              </w:rPr>
              <w:t>图</w:t>
            </w:r>
            <w:r>
              <w:rPr>
                <w:rFonts w:ascii="宋体" w:hAnsi="宋体" w:cs="楷体"/>
                <w:color w:val="000000"/>
                <w:sz w:val="24"/>
                <w:szCs w:val="24"/>
              </w:rPr>
              <w:t>5 民生工程助力老旧小区</w:t>
            </w:r>
          </w:p>
          <w:p>
            <w:pPr>
              <w:jc w:val="center"/>
              <w:rPr>
                <w:rFonts w:ascii="宋体" w:hAnsi="宋体" w:cs="楷体"/>
                <w:color w:val="000000"/>
                <w:sz w:val="24"/>
                <w:szCs w:val="24"/>
              </w:rPr>
            </w:pPr>
            <w:r>
              <w:rPr>
                <w:rFonts w:ascii="宋体" w:hAnsi="宋体" w:cs="楷体"/>
                <w:color w:val="000000"/>
                <w:sz w:val="24"/>
                <w:szCs w:val="24"/>
              </w:rPr>
              <w:t>安装电梯</w:t>
            </w:r>
          </w:p>
          <w:p>
            <w:pPr>
              <w:rPr>
                <w:rFonts w:ascii="宋体" w:hAnsi="宋体"/>
                <w:szCs w:val="21"/>
              </w:rPr>
            </w:pPr>
          </w:p>
        </w:tc>
        <w:tc>
          <w:tcPr>
            <w:tcW w:w="3119" w:type="dxa"/>
          </w:tcPr>
          <w:p>
            <w:pPr>
              <w:rPr>
                <w:rFonts w:ascii="宋体" w:hAnsi="宋体" w:cs="楷体"/>
                <w:b/>
                <w:bCs/>
                <w:color w:val="000000"/>
                <w:sz w:val="24"/>
                <w:szCs w:val="24"/>
              </w:rPr>
            </w:pPr>
            <w:r>
              <w:rPr>
                <w:rFonts w:ascii="宋体" w:hAnsi="宋体" w:cs="楷体"/>
                <w:b/>
                <w:bCs/>
                <w:color w:val="000000"/>
                <w:sz w:val="24"/>
                <w:szCs w:val="24"/>
              </w:rPr>
              <w:t>疫情当下，社会事业管理服务要做到更及时有效、更科学完善。</w:t>
            </w:r>
          </w:p>
          <w:p>
            <w:pPr>
              <w:rPr>
                <w:rFonts w:ascii="宋体" w:hAnsi="宋体"/>
                <w:szCs w:val="21"/>
              </w:rPr>
            </w:pPr>
            <w:r>
              <w:rPr>
                <w:rFonts w:ascii="宋体" w:hAnsi="宋体" w:cs="楷体"/>
                <w:color w:val="000000"/>
                <w:sz w:val="24"/>
                <w:szCs w:val="24"/>
              </w:rPr>
              <w:t>农村农业局社会事业促进科和各乡镇社会事业管理服务中心的设立，旨在发挥组织改善城镇及农村人居环境，统筹指导城乡整治、村容村貌提升的作用。协调推动城乡社会事业发展、公共服务体系建设和基础设施建设。指导城乡精神文明和优秀文化建设</w:t>
            </w:r>
            <w:r>
              <w:rPr>
                <w:rFonts w:ascii="宋体" w:hAnsi="宋体"/>
                <w:sz w:val="24"/>
                <w:szCs w:val="24"/>
              </w:rPr>
              <w:t>。</w:t>
            </w:r>
          </w:p>
          <w:p>
            <w:pPr>
              <w:rPr>
                <w:rFonts w:ascii="宋体" w:hAnsi="宋体"/>
                <w:szCs w:val="21"/>
              </w:rPr>
            </w:pPr>
          </w:p>
        </w:tc>
      </w:tr>
    </w:tbl>
    <w:p>
      <w:pPr>
        <w:pStyle w:val="3"/>
      </w:pPr>
      <w:bookmarkStart w:id="3" w:name="_Toc113029564"/>
      <w:r>
        <w:rPr>
          <w:rFonts w:hint="eastAsia"/>
        </w:rPr>
        <w:t>三、 金寨县2022年及未来五年经济发展目标</w:t>
      </w:r>
      <w:bookmarkEnd w:id="3"/>
    </w:p>
    <w:p>
      <w:pPr>
        <w:pStyle w:val="10"/>
        <w:spacing w:line="440" w:lineRule="exact"/>
        <w:ind w:firstLine="480" w:firstLineChars="200"/>
        <w:rPr>
          <w:rFonts w:hAnsi="宋体"/>
          <w:sz w:val="24"/>
          <w:szCs w:val="24"/>
        </w:rPr>
      </w:pPr>
      <w:r>
        <w:rPr>
          <w:rFonts w:hint="eastAsia" w:hAnsi="宋体"/>
          <w:sz w:val="24"/>
          <w:szCs w:val="24"/>
        </w:rPr>
        <w:t>2022年是党的二十大召开之年，金寨县对标对表、拉高标杆，制定了地区生产总值增长9.3%左右，规模工业增加值增长15%左右，一般公共预算收入增长10%以上，社会消费品零售总额增长12%左右，固定资产投资增长15%左右，城镇、农村常住居民人均可支配收入分别增长9%、11.5%左右等发展新目标，积极致力于完成省、市下达的生态环境年度考核目标任务。</w:t>
      </w:r>
    </w:p>
    <w:p>
      <w:pPr>
        <w:pStyle w:val="10"/>
        <w:spacing w:line="440" w:lineRule="exact"/>
        <w:ind w:firstLine="480" w:firstLineChars="200"/>
        <w:rPr>
          <w:rFonts w:asciiTheme="minorEastAsia" w:hAnsiTheme="minorEastAsia" w:eastAsiaTheme="minorEastAsia"/>
          <w:sz w:val="24"/>
          <w:szCs w:val="24"/>
        </w:rPr>
      </w:pPr>
      <w:r>
        <w:rPr>
          <w:rFonts w:hint="eastAsia" w:hAnsi="宋体"/>
          <w:sz w:val="24"/>
          <w:szCs w:val="24"/>
        </w:rPr>
        <w:t>未来五年金寨县的发展工作将以稳中求进为基调，以高质量发展为主题，统筹发展和安全，努力开创新阶段现代化幸福金寨建设新局面。经济发展方面，生产总值超400亿元，经济增速超全省平均，人均主要指标追赶全省平均；实现百亿企业零突破，全县工业产值达500亿元左右，战新产业产值占规模工业产值比重达60%。基础设施方面，全力以赴争改革、抓创新，释放更多红利、汇聚更大能量。建设集铁路、公路、机场于一体的皖西重要交通枢纽和重要生态旅游康养目的地，深度融入、等高对接长三角一体化。城乡建设方面，以新型城镇化思维统筹城乡建设，创成全国文明典范城市；常住人口城镇化率达56%，农村基础和公共服务设施进一步完善；“两山”建设持续深化，生态产品供给大幅增加，建成更高质量的长三角地区生态屏障。人文生活方面，居民收入增幅保持全省领先，共同富裕迈出实质性步伐；红色基因焕发强大动力；社会治理效能进一步提高，统筹发展和安全更加有力。</w:t>
      </w:r>
    </w:p>
    <w:p>
      <w:pPr>
        <w:pStyle w:val="10"/>
        <w:spacing w:line="440" w:lineRule="exact"/>
        <w:ind w:firstLine="480" w:firstLineChars="200"/>
        <w:rPr>
          <w:rFonts w:ascii="微软雅黑" w:hAnsi="微软雅黑" w:eastAsia="微软雅黑"/>
          <w:sz w:val="24"/>
          <w:szCs w:val="24"/>
        </w:rPr>
      </w:pPr>
    </w:p>
    <w:p>
      <w:pPr>
        <w:pStyle w:val="2"/>
        <w:jc w:val="center"/>
        <w:rPr>
          <w:rFonts w:ascii="黑体" w:hAnsi="黑体" w:eastAsia="黑体"/>
          <w:b w:val="0"/>
          <w:sz w:val="30"/>
          <w:szCs w:val="30"/>
        </w:rPr>
      </w:pPr>
      <w:bookmarkStart w:id="4" w:name="_Toc113029565"/>
      <w:r>
        <w:rPr>
          <w:rFonts w:hint="eastAsia" w:ascii="黑体" w:hAnsi="黑体" w:eastAsia="黑体"/>
          <w:b w:val="0"/>
          <w:sz w:val="30"/>
          <w:szCs w:val="30"/>
        </w:rPr>
        <w:t xml:space="preserve">第二章 </w:t>
      </w:r>
      <w:r>
        <w:rPr>
          <w:rFonts w:ascii="黑体" w:hAnsi="黑体" w:eastAsia="黑体"/>
          <w:b w:val="0"/>
          <w:sz w:val="30"/>
          <w:szCs w:val="30"/>
        </w:rPr>
        <w:t xml:space="preserve"> </w:t>
      </w:r>
      <w:r>
        <w:rPr>
          <w:rFonts w:hint="eastAsia" w:ascii="黑体" w:hAnsi="黑体" w:eastAsia="黑体"/>
          <w:b w:val="0"/>
          <w:sz w:val="30"/>
          <w:szCs w:val="30"/>
        </w:rPr>
        <w:t>新时期新征程新挑战下的新发展路线</w:t>
      </w:r>
      <w:bookmarkEnd w:id="4"/>
    </w:p>
    <w:p>
      <w:pPr>
        <w:pStyle w:val="263"/>
        <w:rPr>
          <w:rFonts w:ascii="黑体" w:hAnsi="黑体" w:eastAsia="黑体"/>
          <w:b w:val="0"/>
        </w:rPr>
      </w:pPr>
      <w:bookmarkStart w:id="5" w:name="_Toc113029566"/>
      <w:r>
        <w:rPr>
          <w:rFonts w:hint="eastAsia" w:ascii="黑体" w:hAnsi="黑体" w:eastAsia="黑体"/>
          <w:b w:val="0"/>
        </w:rPr>
        <w:t>一、把握资源特色，争当旅游示范区模范</w:t>
      </w:r>
      <w:bookmarkEnd w:id="5"/>
    </w:p>
    <w:p>
      <w:pPr>
        <w:pStyle w:val="10"/>
        <w:spacing w:line="440" w:lineRule="exact"/>
        <w:ind w:firstLine="480" w:firstLineChars="200"/>
        <w:rPr>
          <w:rFonts w:hAnsi="宋体"/>
          <w:sz w:val="24"/>
          <w:szCs w:val="24"/>
        </w:rPr>
      </w:pPr>
      <w:r>
        <w:rPr>
          <w:rFonts w:hint="eastAsia" w:hAnsi="宋体"/>
          <w:sz w:val="24"/>
          <w:szCs w:val="24"/>
        </w:rPr>
        <w:t>上一个五年，金寨县旅游业抢抓发展机遇、不断开拓奋进，成功实现了产业平稳较快发展，全域旅游示范区创建顺利通过验收，“希望之城、养心金寨”唱响全国。可谓真正做到了为地区带来了人气，为景点带来财气，为老区人民增添福气，更为金寨接力奋进，开辟优质旅游新空间增强了底气和志气。具体而言，金寨县委、县政府通过提高战略定位、出台系列相关规划和政策等举措，让金寨旅游业在顶层设计上“面到面”，构建旅游发展新格局；通过加快建设落成旅游交通线路、景点观景基础设施，打造集交通、气象、治安、客流信息等为一体的综合信息服务平台，建成和引进符合地域特色的创新旅游项目等方式，让金寨旅游业在项目建设上“实打实”，夯实旅游发展新基础；通过布局“旅游+乡村”、“旅游+长寿产业”、“旅游+林业”、“旅游+电商”，将旅游业与更多产业相结合，形成独具区域特色的产业联动，让金寨旅游在业态创新上“背靠背”，激发旅游发展新动能；通过创办旅游推介会、民俗文化节，借助传统媒体与新媒体相结合的宣传平台积极打造“指尖上的旅游”，力促“传统营销”向“智慧营销”转型，让金寨旅游在营销宣传上“点对点”，展示金寨旅游新形象。</w:t>
      </w:r>
    </w:p>
    <w:p>
      <w:pPr>
        <w:pStyle w:val="10"/>
        <w:spacing w:line="440" w:lineRule="exact"/>
        <w:ind w:firstLine="480" w:firstLineChars="200"/>
        <w:rPr>
          <w:rFonts w:hAnsi="宋体"/>
          <w:sz w:val="24"/>
          <w:szCs w:val="24"/>
        </w:rPr>
      </w:pPr>
      <w:r>
        <w:rPr>
          <w:rFonts w:hint="eastAsia" w:hAnsi="宋体"/>
          <w:sz w:val="24"/>
          <w:szCs w:val="24"/>
        </w:rPr>
        <w:t>“十四五”期间，金寨县提出围绕打造“红色名城、绿色名县，全国著名的旅游目的地”的目标，充分发挥红色教育、绿色山水、蓝色天空资源优势，推动旅游业改革转型发展。预计到2025年，实现全县年接待游客1</w:t>
      </w:r>
      <w:r>
        <w:rPr>
          <w:rFonts w:hAnsi="宋体"/>
          <w:sz w:val="24"/>
          <w:szCs w:val="24"/>
        </w:rPr>
        <w:t>,</w:t>
      </w:r>
      <w:r>
        <w:rPr>
          <w:rFonts w:hint="eastAsia" w:hAnsi="宋体"/>
          <w:sz w:val="24"/>
          <w:szCs w:val="24"/>
        </w:rPr>
        <w:t>800-2</w:t>
      </w:r>
      <w:r>
        <w:rPr>
          <w:rFonts w:hAnsi="宋体"/>
          <w:sz w:val="24"/>
          <w:szCs w:val="24"/>
        </w:rPr>
        <w:t>,</w:t>
      </w:r>
      <w:r>
        <w:rPr>
          <w:rFonts w:hint="eastAsia" w:hAnsi="宋体"/>
          <w:sz w:val="24"/>
          <w:szCs w:val="24"/>
        </w:rPr>
        <w:t>000万人次，创综合收入80-100亿元，将旅游业打造为成为全县国民经济的支柱产业和人民群众更加满意的现代服务业。</w:t>
      </w:r>
    </w:p>
    <w:p>
      <w:pPr>
        <w:pStyle w:val="10"/>
        <w:spacing w:line="440" w:lineRule="exact"/>
        <w:ind w:firstLine="480" w:firstLineChars="200"/>
        <w:rPr>
          <w:rFonts w:hAnsi="宋体"/>
          <w:sz w:val="24"/>
          <w:szCs w:val="24"/>
        </w:rPr>
      </w:pPr>
      <w:r>
        <w:rPr>
          <w:rFonts w:hint="eastAsia" w:hAnsi="宋体"/>
          <w:sz w:val="24"/>
          <w:szCs w:val="24"/>
        </w:rPr>
        <w:t>根据旅游资源分布和区域优势，金寨县将进行“一轴、两核、三环、四区”的空间布局改造，遵循资源属性的连续性，以旅游开发的可持续性为指导，从而应对目前旅游区域发展和衔接不平衡的新挑战。通过集中功能分区单元，突出主体，分工协作，突出主题，达到发掘和应用不同区域自身特色的个性化旅游体验的效果。</w:t>
      </w:r>
    </w:p>
    <w:p>
      <w:pPr>
        <w:pStyle w:val="10"/>
        <w:spacing w:line="440" w:lineRule="exact"/>
        <w:ind w:firstLine="480" w:firstLineChars="200"/>
        <w:rPr>
          <w:rFonts w:hAnsi="宋体"/>
          <w:sz w:val="24"/>
          <w:szCs w:val="24"/>
        </w:rPr>
      </w:pPr>
      <w:r>
        <w:rPr>
          <w:rFonts w:hint="eastAsia" w:hAnsi="宋体"/>
          <w:sz w:val="24"/>
          <w:szCs w:val="24"/>
        </w:rPr>
        <w:t>全力打造精品旅游线路，开启全域旅游后时代格局。精品旅游线路的开发和应用始终是实现金寨“红绿蓝”三色旅游资源有效串联的最佳手段，无论是一期“仙风道古”自驾游线路还是二期“红色征程”项目，都需要对其基础设施、配套设施、文化内涵等多方面进行集中布局，合理开发。例如，以自然旅游资源为主的“仙风道古”项目，应充分挖掘其独特性，建设自驾游营地、房车露营基地、精品民宿区等个性化旅游商业服务区；以红色旅游资源为主的“红色征程”项目，应着眼于红色精神的传承、新时代红色文化的引领等关键点，打造集传承历史、社会实践、体验民俗为一体的特色红色旅游集群区域和创新户外项目。</w:t>
      </w:r>
    </w:p>
    <w:p>
      <w:pPr>
        <w:pStyle w:val="10"/>
        <w:spacing w:line="440" w:lineRule="exact"/>
        <w:ind w:firstLine="480" w:firstLineChars="200"/>
        <w:rPr>
          <w:rFonts w:ascii="微软雅黑" w:hAnsi="微软雅黑" w:eastAsia="微软雅黑"/>
          <w:sz w:val="24"/>
          <w:szCs w:val="24"/>
        </w:rPr>
      </w:pPr>
      <w:r>
        <w:rPr>
          <w:rFonts w:hint="eastAsia" w:hAnsi="宋体"/>
          <w:sz w:val="24"/>
          <w:szCs w:val="24"/>
        </w:rPr>
        <w:t>强化旅游营销拓宽客源市场，助力乡村振兴促进群众增收。传统“以景点为中心”的宣传推广模式亟需创新，面对新时代下国民的新需求，金寨县应将旅游营销推广的内容重点放在沉淀其文化优势，精准其品牌定位上；将推广的平台移至线上，形成立体传播渠道，借助县域官方账号和个人内容发布者的共同力量，向外界展示独具特色的红色历史文化和民俗精神。乡村振兴方面金寨县计划培育“一村一品、一景一特色”，发展休闲型、度假型、体验型、康养型乡村旅游项目。建设一批有山水依托、乡土记忆、看得见山、望得见水、唤得起“乡愁”的养生度假旅游小镇、村庄。依托扶持政策，引导建设一批A级旅游村及精品民宿项目，从而实现促进群众增收的效果。</w:t>
      </w:r>
    </w:p>
    <w:p>
      <w:pPr>
        <w:pStyle w:val="3"/>
        <w:rPr>
          <w:b w:val="0"/>
        </w:rPr>
      </w:pPr>
      <w:bookmarkStart w:id="6" w:name="_Toc113029567"/>
      <w:r>
        <w:rPr>
          <w:rFonts w:hint="eastAsia"/>
          <w:b w:val="0"/>
        </w:rPr>
        <w:t>二、立足地域特色，加速发展现代农业</w:t>
      </w:r>
      <w:bookmarkEnd w:id="6"/>
    </w:p>
    <w:p>
      <w:pPr>
        <w:pStyle w:val="10"/>
        <w:spacing w:line="440" w:lineRule="exact"/>
        <w:ind w:firstLine="480" w:firstLineChars="200"/>
        <w:rPr>
          <w:rFonts w:ascii="微软雅黑" w:hAnsi="微软雅黑" w:eastAsia="微软雅黑"/>
          <w:sz w:val="24"/>
          <w:szCs w:val="24"/>
        </w:rPr>
      </w:pPr>
      <w:r>
        <w:rPr>
          <w:rFonts w:hint="eastAsia" w:asciiTheme="minorEastAsia" w:hAnsiTheme="minorEastAsia" w:eastAsiaTheme="minorEastAsia"/>
          <w:sz w:val="24"/>
          <w:szCs w:val="24"/>
        </w:rPr>
        <w:t>金寨生态环境优越，中药、农林资源富集，素有“西山药库”、“江淮果岭”的美誉，具有良好的中药材、农林产业基础和浓厚的中医药文化氛围。其中，灵芝、天麻、茯苓、黄精等中药材在国内具有较高的知名度，茶叶、山核桃、蚕桑、猕猴桃、油茶等成为县域特色农产品。</w:t>
      </w:r>
    </w:p>
    <w:p>
      <w:pPr>
        <w:pStyle w:val="10"/>
        <w:spacing w:line="560" w:lineRule="exact"/>
        <w:ind w:firstLine="480" w:firstLineChars="200"/>
        <w:rPr>
          <w:rFonts w:ascii="微软雅黑" w:hAnsi="微软雅黑" w:eastAsia="微软雅黑"/>
          <w:sz w:val="24"/>
          <w:szCs w:val="24"/>
        </w:rPr>
      </w:pPr>
    </w:p>
    <w:tbl>
      <w:tblPr>
        <w:tblStyle w:val="22"/>
        <w:tblW w:w="90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15"/>
        <w:gridCol w:w="4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5" w:type="dxa"/>
            <w:vAlign w:val="center"/>
          </w:tcPr>
          <w:p>
            <w:pPr>
              <w:jc w:val="center"/>
              <w:rPr>
                <w:rFonts w:ascii="黑体" w:hAnsi="黑体" w:eastAsia="黑体" w:cs="黑体"/>
                <w:color w:val="5D5D5D"/>
                <w:sz w:val="20"/>
              </w:rPr>
            </w:pPr>
            <w:r>
              <w:rPr>
                <w:rFonts w:ascii="微软雅黑" w:hAnsi="微软雅黑" w:eastAsia="微软雅黑"/>
                <w:sz w:val="24"/>
                <w:szCs w:val="24"/>
              </w:rPr>
              <w:drawing>
                <wp:anchor distT="0" distB="0" distL="114300" distR="114300" simplePos="0" relativeHeight="251662336" behindDoc="0" locked="0" layoutInCell="1" allowOverlap="1">
                  <wp:simplePos x="0" y="0"/>
                  <wp:positionH relativeFrom="column">
                    <wp:posOffset>349885</wp:posOffset>
                  </wp:positionH>
                  <wp:positionV relativeFrom="paragraph">
                    <wp:posOffset>-317500</wp:posOffset>
                  </wp:positionV>
                  <wp:extent cx="2314575" cy="1711960"/>
                  <wp:effectExtent l="38100" t="38100" r="85725" b="977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14575" cy="1711960"/>
                          </a:xfrm>
                          <a:prstGeom prst="rect">
                            <a:avLst/>
                          </a:prstGeom>
                          <a:noFill/>
                          <a:effectLst>
                            <a:outerShdw blurRad="50800" dist="38100" dir="2700000" algn="tl" rotWithShape="0">
                              <a:prstClr val="black">
                                <a:alpha val="40000"/>
                              </a:prstClr>
                            </a:outerShdw>
                          </a:effectLst>
                        </pic:spPr>
                      </pic:pic>
                    </a:graphicData>
                  </a:graphic>
                </wp:anchor>
              </w:drawing>
            </w: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宋体" w:hAnsi="宋体" w:cs="黑体"/>
                <w:color w:val="5D5D5D"/>
                <w:sz w:val="24"/>
                <w:szCs w:val="24"/>
              </w:rPr>
            </w:pPr>
            <w:r>
              <w:rPr>
                <w:rFonts w:hint="eastAsia" w:ascii="宋体" w:hAnsi="宋体"/>
                <w:sz w:val="24"/>
                <w:szCs w:val="24"/>
              </w:rPr>
              <w:t>图1</w:t>
            </w:r>
            <w:r>
              <w:rPr>
                <w:rFonts w:ascii="宋体" w:hAnsi="宋体"/>
                <w:sz w:val="24"/>
                <w:szCs w:val="24"/>
              </w:rPr>
              <w:t xml:space="preserve"> 村民在“药光”互补产业基地的大棚里管护灵芝</w:t>
            </w:r>
          </w:p>
        </w:tc>
        <w:tc>
          <w:tcPr>
            <w:tcW w:w="4515" w:type="dxa"/>
            <w:vAlign w:val="center"/>
          </w:tcPr>
          <w:p>
            <w:pPr>
              <w:jc w:val="center"/>
              <w:rPr>
                <w:rFonts w:ascii="黑体" w:hAnsi="黑体" w:eastAsia="黑体" w:cs="黑体"/>
                <w:color w:val="5D5D5D"/>
                <w:sz w:val="20"/>
              </w:rPr>
            </w:pPr>
            <w:r>
              <w:rPr>
                <w:rFonts w:ascii="Times New Roman" w:hAnsi="Times New Roman"/>
              </w:rPr>
              <w:drawing>
                <wp:anchor distT="0" distB="0" distL="114300" distR="114300" simplePos="0" relativeHeight="251663360" behindDoc="0" locked="0" layoutInCell="1" allowOverlap="1">
                  <wp:simplePos x="0" y="0"/>
                  <wp:positionH relativeFrom="margin">
                    <wp:posOffset>71755</wp:posOffset>
                  </wp:positionH>
                  <wp:positionV relativeFrom="paragraph">
                    <wp:posOffset>-323215</wp:posOffset>
                  </wp:positionV>
                  <wp:extent cx="2486025" cy="1711960"/>
                  <wp:effectExtent l="38100" t="38100" r="104775" b="97790"/>
                  <wp:wrapNone/>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6025" cy="1711960"/>
                          </a:xfrm>
                          <a:prstGeom prst="rect">
                            <a:avLst/>
                          </a:prstGeom>
                          <a:effectLst>
                            <a:outerShdw blurRad="50800" dist="38100" dir="2700000" algn="tl" rotWithShape="0">
                              <a:prstClr val="black">
                                <a:alpha val="40000"/>
                              </a:prstClr>
                            </a:outerShdw>
                          </a:effectLst>
                        </pic:spPr>
                      </pic:pic>
                    </a:graphicData>
                  </a:graphic>
                </wp:anchor>
              </w:drawing>
            </w: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黑体" w:hAnsi="黑体" w:eastAsia="黑体" w:cs="黑体"/>
                <w:color w:val="5D5D5D"/>
                <w:sz w:val="20"/>
              </w:rPr>
            </w:pPr>
          </w:p>
          <w:p>
            <w:pPr>
              <w:jc w:val="center"/>
              <w:rPr>
                <w:rFonts w:ascii="宋体" w:hAnsi="宋体"/>
                <w:sz w:val="24"/>
                <w:szCs w:val="24"/>
              </w:rPr>
            </w:pPr>
            <w:r>
              <w:rPr>
                <w:rFonts w:hint="eastAsia" w:ascii="宋体" w:hAnsi="宋体"/>
                <w:sz w:val="24"/>
                <w:szCs w:val="24"/>
              </w:rPr>
              <w:t>图2</w:t>
            </w:r>
            <w:r>
              <w:rPr>
                <w:rFonts w:ascii="宋体" w:hAnsi="宋体"/>
                <w:sz w:val="24"/>
                <w:szCs w:val="24"/>
              </w:rPr>
              <w:t xml:space="preserve"> 军泽家庭农场猕猴桃种植基地硕果累累</w:t>
            </w:r>
          </w:p>
        </w:tc>
      </w:tr>
    </w:tbl>
    <w:p>
      <w:pPr>
        <w:pStyle w:val="10"/>
        <w:spacing w:line="440" w:lineRule="exact"/>
        <w:ind w:firstLine="480" w:firstLineChars="200"/>
        <w:rPr>
          <w:rFonts w:hAnsi="宋体"/>
          <w:sz w:val="24"/>
          <w:szCs w:val="24"/>
        </w:rPr>
      </w:pPr>
    </w:p>
    <w:p>
      <w:pPr>
        <w:pStyle w:val="10"/>
        <w:spacing w:line="440" w:lineRule="exact"/>
        <w:ind w:firstLine="480" w:firstLineChars="200"/>
        <w:rPr>
          <w:rFonts w:hAnsi="宋体"/>
          <w:sz w:val="24"/>
          <w:szCs w:val="24"/>
        </w:rPr>
      </w:pPr>
      <w:r>
        <w:rPr>
          <w:rFonts w:hint="eastAsia" w:hAnsi="宋体"/>
          <w:sz w:val="24"/>
          <w:szCs w:val="24"/>
        </w:rPr>
        <w:t>金寨县立足“西山药库”的生态资源禀赋，全面推进中医药大健康产业发展，推动建设“现代中医药大健康产业园”。2016年以来，金寨县把中药材作为精准扶贫重点产业，继2019年获批创建“中医药大健康特色产业集群（基地）”后，持续不断积极探索拓宽生态价值转化机制，推动县域经济高质量发展再上新台阶。截至目前，灵芝、茯苓、天麻、黄精、石斛等5个品种已成功入选安徽省“十大皖药”，同时有28家单位入选该产业示范基地建设项目。其中“药光互补”项目呈现乡村产业振兴新亮点。近两年，金寨县将发展清洁能源和山区农业有机结合,通过“药光”互补形成山区特色支柱产业,促进产业振兴。该县吴家店镇1</w:t>
      </w:r>
      <w:r>
        <w:rPr>
          <w:rFonts w:hAnsi="宋体"/>
          <w:sz w:val="24"/>
          <w:szCs w:val="24"/>
        </w:rPr>
        <w:t>,</w:t>
      </w:r>
      <w:r>
        <w:rPr>
          <w:rFonts w:hint="eastAsia" w:hAnsi="宋体"/>
          <w:sz w:val="24"/>
          <w:szCs w:val="24"/>
        </w:rPr>
        <w:t>934户联户集中建设的吴畈光伏电站总装机规模5.8MW,光伏板下搭建大棚进行灵芝、桑黄、黄精、天麻等中药材种植,成功带动山区群众稳定增收。</w:t>
      </w:r>
    </w:p>
    <w:p>
      <w:pPr>
        <w:pStyle w:val="10"/>
        <w:spacing w:line="440" w:lineRule="exact"/>
        <w:ind w:firstLine="480" w:firstLineChars="200"/>
        <w:rPr>
          <w:rFonts w:hAnsi="宋体"/>
          <w:sz w:val="24"/>
          <w:szCs w:val="24"/>
        </w:rPr>
      </w:pPr>
      <w:r>
        <w:rPr>
          <w:rFonts w:hint="eastAsia" w:hAnsi="宋体"/>
          <w:sz w:val="24"/>
          <w:szCs w:val="24"/>
        </w:rPr>
        <w:t>金寨县挖掘“江淮果岭”的自然资源条件，大力发展县域特色有机农产品，截至2020年6月，已有12家企业被评选为农业产业化省级重点龙头企业，“三品一标”认证企业累计超过200家，累计313种产品获得有机或有机转换认证；2021年又新增金寨猕猴桃、金寨红薯、六安瓜片，三种农产品入选全国名特优新农产品名录；“十四五”期间，金寨县凭借药用菌创新技术全省领先的优势被授予“中国药用菌之都”和“信用药用菌主产区”，亦被评选为“十四五”期间安徽省食用菌产业发展示范县。2014-2018年之间，金寨县梅山镇致力于打造规模化、标准化、产业化的猕猴桃种植基地，实现了从亩产不足300斤到亩产超过3</w:t>
      </w:r>
      <w:r>
        <w:rPr>
          <w:rFonts w:hAnsi="宋体"/>
          <w:sz w:val="24"/>
          <w:szCs w:val="24"/>
        </w:rPr>
        <w:t>,</w:t>
      </w:r>
      <w:r>
        <w:rPr>
          <w:rFonts w:hint="eastAsia" w:hAnsi="宋体"/>
          <w:sz w:val="24"/>
          <w:szCs w:val="24"/>
        </w:rPr>
        <w:t>000斤的飞跃，这不仅得益于由粗放转为精细化的农业管理，还离不开在金寨县政府帮扶下兴建的自动灌溉等基础设施的逐步完善。</w:t>
      </w:r>
    </w:p>
    <w:p>
      <w:pPr>
        <w:pStyle w:val="10"/>
        <w:spacing w:line="440" w:lineRule="exact"/>
        <w:ind w:firstLine="480" w:firstLineChars="200"/>
        <w:rPr>
          <w:rFonts w:ascii="微软雅黑" w:hAnsi="微软雅黑" w:eastAsia="微软雅黑"/>
          <w:sz w:val="24"/>
          <w:szCs w:val="24"/>
        </w:rPr>
      </w:pPr>
      <w:r>
        <w:rPr>
          <w:rFonts w:hint="eastAsia" w:hAnsi="宋体"/>
          <w:sz w:val="24"/>
          <w:szCs w:val="24"/>
        </w:rPr>
        <w:t>同时，金寨县着力建设完善大别山农产品供销物流园以及农产品电商产业园为其特色农产品的对外推广销售提供了优质且稳定的保障。大别山供销物流园先后获评优秀类省级服务业集聚区、省级服务业集聚示范区；金寨农业科技园区获省科技厅批准创建第三批省级农业科技园区；金寨大别山农产品电商产业园被国家商务部增补为国家电子商务示范基地。</w:t>
      </w:r>
    </w:p>
    <w:p>
      <w:pPr>
        <w:pStyle w:val="3"/>
        <w:rPr>
          <w:b w:val="0"/>
        </w:rPr>
      </w:pPr>
      <w:bookmarkStart w:id="7" w:name="_Toc113029568"/>
      <w:r>
        <w:rPr>
          <w:rFonts w:hint="eastAsia"/>
          <w:b w:val="0"/>
        </w:rPr>
        <w:t>三、突出工业特色，壮强产业转型升级</w:t>
      </w:r>
      <w:bookmarkEnd w:id="7"/>
    </w:p>
    <w:p>
      <w:pPr>
        <w:pStyle w:val="10"/>
        <w:spacing w:line="440" w:lineRule="exact"/>
        <w:ind w:firstLine="480" w:firstLineChars="200"/>
        <w:rPr>
          <w:rFonts w:hAnsi="宋体"/>
          <w:sz w:val="24"/>
          <w:szCs w:val="24"/>
        </w:rPr>
      </w:pPr>
      <w:r>
        <w:rPr>
          <w:rFonts w:hint="eastAsia" w:hAnsi="宋体"/>
          <w:sz w:val="24"/>
          <w:szCs w:val="24"/>
        </w:rPr>
        <w:t>金寨县新能源产业于2014年起步，经过8年建设，目前在光伏发电、风能发电、水力发电以及生物质能发电方面均已初具规模，2021年度全县可再生能源发电量超19亿千瓦时。</w:t>
      </w:r>
    </w:p>
    <w:p>
      <w:pPr>
        <w:pStyle w:val="10"/>
        <w:spacing w:line="440" w:lineRule="exact"/>
        <w:ind w:firstLine="480" w:firstLineChars="200"/>
        <w:rPr>
          <w:rFonts w:ascii="微软雅黑" w:hAnsi="微软雅黑" w:eastAsia="微软雅黑"/>
          <w:sz w:val="24"/>
          <w:szCs w:val="24"/>
        </w:rPr>
      </w:pPr>
      <w:r>
        <w:rPr>
          <w:rFonts w:hint="eastAsia" w:hAnsi="宋体"/>
          <w:sz w:val="24"/>
          <w:szCs w:val="24"/>
        </w:rPr>
        <w:t>目前，金寨县已建成种类较全、规模较大的新能源生产体系，可再生能源企业33家，新能源发电总装机约200万千瓦，年产值达50亿元，其中光伏发电产值约16亿元。近年来，金寨县引进了协鑫科技、信义光伏、东旭康图、嘉悦新能源、智通新能源、阳光照明等多家重点企业，开发了金寨100MW/200MW储能示范项目、金寨抽水蓄能电站、赛拉弗10GW光伏组件生产基地等多个重大项目，推动我县新能源产业提档升级。我县新能源产业的发展，特别是光伏扶贫工程离不开国家的大力支持。2016年1月，金寨县获批创建国家高比例可再生能源示范县。2016年3月，金寨县被列入国家光伏扶贫工程重点实施范围。2021年9月，金寨县被纳入国家整县（市、区）屋顶分布式光伏开发试点名单。目前，全县已建成光伏扶贫电站项目总装机8000余座共计20.08万兆瓦，覆盖全县226个行政村，呈现出规模大、类型多、分布广的特点。光伏扶贫助力金寨县超过11.95万贫困人口实现脱贫，71个贫困村出列，累计实现综合收益5.48亿元。2018年，金寨县因光伏扶贫创新获国务院扶贫开发领导小组授予“全国脱贫攻坚组织创新奖”，2021年入选全球减贫优秀案例。</w:t>
      </w:r>
    </w:p>
    <w:p>
      <w:pPr>
        <w:pStyle w:val="10"/>
        <w:spacing w:line="560" w:lineRule="exact"/>
        <w:ind w:firstLine="420" w:firstLineChars="200"/>
        <w:rPr>
          <w:rFonts w:ascii="微软雅黑" w:hAnsi="微软雅黑" w:eastAsia="微软雅黑"/>
          <w:sz w:val="24"/>
          <w:szCs w:val="24"/>
        </w:rPr>
      </w:pPr>
      <w:r>
        <w:drawing>
          <wp:anchor distT="0" distB="0" distL="114300" distR="114300" simplePos="0" relativeHeight="251665408" behindDoc="0" locked="0" layoutInCell="1" allowOverlap="1">
            <wp:simplePos x="0" y="0"/>
            <wp:positionH relativeFrom="column">
              <wp:posOffset>3086100</wp:posOffset>
            </wp:positionH>
            <wp:positionV relativeFrom="paragraph">
              <wp:posOffset>104775</wp:posOffset>
            </wp:positionV>
            <wp:extent cx="2406015" cy="1580515"/>
            <wp:effectExtent l="38100" t="38100" r="90170" b="96520"/>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5850" cy="1580400"/>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ascii="微软雅黑" w:hAnsi="微软雅黑" w:eastAsia="微软雅黑"/>
          <w:sz w:val="24"/>
          <w:szCs w:val="24"/>
        </w:rPr>
        <w:drawing>
          <wp:anchor distT="0" distB="0" distL="114300" distR="114300" simplePos="0" relativeHeight="251664384" behindDoc="0" locked="0" layoutInCell="1" allowOverlap="1">
            <wp:simplePos x="0" y="0"/>
            <wp:positionH relativeFrom="column">
              <wp:posOffset>323850</wp:posOffset>
            </wp:positionH>
            <wp:positionV relativeFrom="paragraph">
              <wp:posOffset>98425</wp:posOffset>
            </wp:positionV>
            <wp:extent cx="2448560" cy="1581150"/>
            <wp:effectExtent l="38100" t="38100" r="104775" b="9525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48397" cy="1581150"/>
                    </a:xfrm>
                    <a:prstGeom prst="rect">
                      <a:avLst/>
                    </a:prstGeom>
                    <a:noFill/>
                    <a:effectLst>
                      <a:outerShdw blurRad="50800" dist="38100" dir="2700000" algn="tl" rotWithShape="0">
                        <a:prstClr val="black">
                          <a:alpha val="40000"/>
                        </a:prstClr>
                      </a:outerShdw>
                    </a:effectLst>
                  </pic:spPr>
                </pic:pic>
              </a:graphicData>
            </a:graphic>
          </wp:anchor>
        </w:drawing>
      </w: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13"/>
        <w:gridCol w:w="45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3" w:type="dxa"/>
            <w:vAlign w:val="center"/>
          </w:tcPr>
          <w:p>
            <w:pPr>
              <w:jc w:val="center"/>
              <w:rPr>
                <w:rFonts w:ascii="黑体" w:hAnsi="黑体" w:eastAsia="黑体" w:cs="黑体"/>
                <w:color w:val="5D5D5D"/>
                <w:sz w:val="24"/>
              </w:rPr>
            </w:pPr>
            <w:r>
              <w:rPr>
                <w:rFonts w:hint="eastAsia" w:ascii="宋体" w:hAnsi="宋体"/>
                <w:sz w:val="24"/>
                <w:szCs w:val="24"/>
              </w:rPr>
              <w:t>图3</w:t>
            </w:r>
            <w:r>
              <w:rPr>
                <w:rFonts w:ascii="宋体" w:hAnsi="宋体"/>
                <w:sz w:val="24"/>
                <w:szCs w:val="24"/>
              </w:rPr>
              <w:t xml:space="preserve"> </w:t>
            </w:r>
            <w:r>
              <w:rPr>
                <w:rFonts w:hint="eastAsia" w:ascii="宋体" w:hAnsi="宋体"/>
                <w:sz w:val="24"/>
                <w:szCs w:val="24"/>
              </w:rPr>
              <w:t>大湾村山顶上的风电场</w:t>
            </w:r>
          </w:p>
        </w:tc>
        <w:tc>
          <w:tcPr>
            <w:tcW w:w="4513" w:type="dxa"/>
            <w:vAlign w:val="center"/>
          </w:tcPr>
          <w:p>
            <w:pPr>
              <w:jc w:val="center"/>
              <w:rPr>
                <w:rFonts w:ascii="黑体" w:hAnsi="黑体" w:eastAsia="黑体" w:cs="黑体"/>
                <w:color w:val="5D5D5D"/>
                <w:sz w:val="24"/>
              </w:rPr>
            </w:pPr>
            <w:r>
              <w:rPr>
                <w:rFonts w:hint="eastAsia" w:ascii="宋体" w:hAnsi="宋体"/>
                <w:sz w:val="24"/>
                <w:szCs w:val="24"/>
              </w:rPr>
              <w:t>图4</w:t>
            </w:r>
            <w:r>
              <w:rPr>
                <w:rFonts w:ascii="宋体" w:hAnsi="宋体"/>
                <w:sz w:val="24"/>
                <w:szCs w:val="24"/>
              </w:rPr>
              <w:t xml:space="preserve"> </w:t>
            </w:r>
            <w:r>
              <w:rPr>
                <w:rFonts w:hint="eastAsia" w:ascii="宋体" w:hAnsi="宋体"/>
                <w:sz w:val="24"/>
                <w:szCs w:val="24"/>
              </w:rPr>
              <w:t>大湾村农光互补发电站一角</w:t>
            </w:r>
          </w:p>
        </w:tc>
      </w:tr>
    </w:tbl>
    <w:p>
      <w:pPr>
        <w:pStyle w:val="10"/>
        <w:spacing w:line="440" w:lineRule="exact"/>
        <w:ind w:firstLine="600" w:firstLineChars="200"/>
        <w:jc w:val="center"/>
        <w:rPr>
          <w:rFonts w:ascii="黑体" w:hAnsi="黑体" w:eastAsia="黑体"/>
          <w:sz w:val="30"/>
          <w:szCs w:val="30"/>
        </w:rPr>
      </w:pPr>
    </w:p>
    <w:p>
      <w:pPr>
        <w:pStyle w:val="2"/>
        <w:jc w:val="center"/>
        <w:rPr>
          <w:rFonts w:ascii="黑体" w:hAnsi="黑体" w:eastAsia="黑体"/>
          <w:b w:val="0"/>
          <w:sz w:val="30"/>
          <w:szCs w:val="30"/>
        </w:rPr>
      </w:pPr>
      <w:bookmarkStart w:id="8" w:name="_Toc113029569"/>
      <w:r>
        <w:rPr>
          <w:rFonts w:hint="eastAsia" w:ascii="黑体" w:hAnsi="黑体" w:eastAsia="黑体"/>
          <w:b w:val="0"/>
          <w:sz w:val="30"/>
          <w:szCs w:val="30"/>
        </w:rPr>
        <w:t xml:space="preserve">第三章 </w:t>
      </w:r>
      <w:r>
        <w:rPr>
          <w:rFonts w:ascii="黑体" w:hAnsi="黑体" w:eastAsia="黑体"/>
          <w:b w:val="0"/>
          <w:sz w:val="30"/>
          <w:szCs w:val="30"/>
        </w:rPr>
        <w:t xml:space="preserve"> </w:t>
      </w:r>
      <w:r>
        <w:rPr>
          <w:rFonts w:hint="eastAsia" w:ascii="黑体" w:hAnsi="黑体" w:eastAsia="黑体"/>
          <w:b w:val="0"/>
          <w:sz w:val="30"/>
          <w:szCs w:val="30"/>
        </w:rPr>
        <w:t>意见建议</w:t>
      </w:r>
      <w:bookmarkEnd w:id="8"/>
    </w:p>
    <w:p>
      <w:pPr>
        <w:pStyle w:val="3"/>
        <w:rPr>
          <w:b w:val="0"/>
        </w:rPr>
      </w:pPr>
      <w:bookmarkStart w:id="9" w:name="_Toc113029570"/>
      <w:r>
        <w:rPr>
          <w:rFonts w:hint="eastAsia"/>
          <w:b w:val="0"/>
        </w:rPr>
        <w:t>一、不忘初心，传承革命历史</w:t>
      </w:r>
      <w:bookmarkEnd w:id="9"/>
    </w:p>
    <w:p>
      <w:pPr>
        <w:pStyle w:val="10"/>
        <w:spacing w:line="440" w:lineRule="exact"/>
        <w:ind w:firstLine="480" w:firstLineChars="200"/>
        <w:rPr>
          <w:rFonts w:hAnsi="宋体"/>
          <w:sz w:val="24"/>
          <w:szCs w:val="24"/>
        </w:rPr>
      </w:pPr>
      <w:r>
        <w:rPr>
          <w:rFonts w:hint="eastAsia" w:hAnsi="宋体"/>
          <w:sz w:val="24"/>
          <w:szCs w:val="24"/>
        </w:rPr>
        <w:t>历史是最好的教科书，也是培根固原的粘合剂。金寨县始终不忘传承革命历史，传递红色精神，近年来，金寨县在逐步扎实落实发展规划的前提下，又将红色资源融入党史学习教育，充分发挥红色精神的引领作用。为了吸引更多群众受到革命精神的滋养，金寨县需要在宣传教育形式上不断创新，跳脱出传统博物馆陈列，革命遗址参观等静态形式，可以适当增加历史舞台剧的编排和展演，还原革命历史场景，通过歌舞、舞台场景切换等动态形式，让革命精神更加鲜活，进而达到深入人心的效果。针对将军县等红色旅游资源区域，可以尝试联系教育局，与全国中小学形成红色老区研学游学的合作教育基地，让更多青少年认识了解并且铭记金寨历史的同时，为旅游服务创造更多业务活动，实现产业链的衔接延长。</w:t>
      </w:r>
    </w:p>
    <w:p>
      <w:pPr>
        <w:pStyle w:val="10"/>
        <w:spacing w:line="560" w:lineRule="exact"/>
        <w:ind w:firstLine="480" w:firstLineChars="200"/>
        <w:rPr>
          <w:rFonts w:ascii="微软雅黑" w:hAnsi="微软雅黑" w:eastAsia="微软雅黑"/>
          <w:sz w:val="24"/>
          <w:szCs w:val="24"/>
        </w:rPr>
      </w:pPr>
      <w:r>
        <w:rPr>
          <w:rFonts w:ascii="微软雅黑" w:hAnsi="微软雅黑" w:eastAsia="微软雅黑"/>
          <w:sz w:val="24"/>
          <w:szCs w:val="24"/>
        </w:rPr>
        <w:drawing>
          <wp:anchor distT="0" distB="0" distL="114300" distR="114300" simplePos="0" relativeHeight="251666432" behindDoc="0" locked="0" layoutInCell="1" allowOverlap="1">
            <wp:simplePos x="0" y="0"/>
            <wp:positionH relativeFrom="margin">
              <wp:posOffset>1447800</wp:posOffset>
            </wp:positionH>
            <wp:positionV relativeFrom="paragraph">
              <wp:posOffset>136525</wp:posOffset>
            </wp:positionV>
            <wp:extent cx="2821940" cy="1857375"/>
            <wp:effectExtent l="38100" t="38100" r="92710" b="8572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821942" cy="1857375"/>
                    </a:xfrm>
                    <a:prstGeom prst="rect">
                      <a:avLst/>
                    </a:prstGeom>
                    <a:noFill/>
                    <a:effectLst>
                      <a:outerShdw blurRad="50800" dist="38100" dir="2700000" algn="tl" rotWithShape="0">
                        <a:prstClr val="black">
                          <a:alpha val="40000"/>
                        </a:prstClr>
                      </a:outerShdw>
                    </a:effectLst>
                  </pic:spPr>
                </pic:pic>
              </a:graphicData>
            </a:graphic>
          </wp:anchor>
        </w:drawing>
      </w: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00" w:firstLineChars="200"/>
        <w:rPr>
          <w:rFonts w:ascii="黑体" w:hAnsi="黑体" w:eastAsia="黑体" w:cs="黑体"/>
          <w:color w:val="5D5D5D"/>
          <w:sz w:val="20"/>
        </w:rPr>
      </w:pPr>
    </w:p>
    <w:p>
      <w:pPr>
        <w:jc w:val="center"/>
        <w:rPr>
          <w:rFonts w:ascii="微软雅黑" w:hAnsi="微软雅黑" w:eastAsia="微软雅黑"/>
          <w:sz w:val="24"/>
          <w:szCs w:val="24"/>
        </w:rPr>
      </w:pPr>
      <w:r>
        <w:rPr>
          <w:rFonts w:hint="eastAsia" w:ascii="宋体" w:hAnsi="宋体"/>
          <w:sz w:val="24"/>
          <w:szCs w:val="24"/>
        </w:rPr>
        <w:t>图1</w:t>
      </w:r>
      <w:r>
        <w:rPr>
          <w:rFonts w:ascii="宋体" w:hAnsi="宋体"/>
          <w:sz w:val="24"/>
          <w:szCs w:val="24"/>
        </w:rPr>
        <w:t xml:space="preserve"> 游客在金鄂豫皖红军纪念园参观学习</w:t>
      </w:r>
    </w:p>
    <w:p>
      <w:pPr>
        <w:pStyle w:val="3"/>
        <w:rPr>
          <w:b w:val="0"/>
        </w:rPr>
      </w:pPr>
      <w:bookmarkStart w:id="10" w:name="_Toc113029571"/>
      <w:r>
        <w:rPr>
          <w:rFonts w:hint="eastAsia"/>
          <w:b w:val="0"/>
        </w:rPr>
        <w:t>二、紧跟数字时代步伐，抓住电商增收红利</w:t>
      </w:r>
      <w:bookmarkEnd w:id="10"/>
    </w:p>
    <w:p>
      <w:pPr>
        <w:pStyle w:val="10"/>
        <w:spacing w:line="440" w:lineRule="exact"/>
        <w:ind w:firstLine="480" w:firstLineChars="200"/>
        <w:rPr>
          <w:rFonts w:hAnsi="宋体"/>
          <w:sz w:val="24"/>
          <w:szCs w:val="24"/>
        </w:rPr>
      </w:pPr>
      <w:r>
        <w:rPr>
          <w:rFonts w:hint="eastAsia" w:hAnsi="宋体"/>
          <w:sz w:val="24"/>
          <w:szCs w:val="24"/>
        </w:rPr>
        <w:t>多年来，金寨县已逐步推进电商进农村全覆盖计划，通过发展农村电子商务，为群众实现增收，让群众找到了破解难题的“金钥匙”。接下来，金寨需在维护和完善电商扶贫超市发展模式的基础上，将数字电商的影响持续向产业链上下游扩散。售前营销方面，大力鼓励和培养新一批“线上金寨宣传大使”，利用抖音、快手等全民化短视频平台进行有计划、持续性的乡村特色宣传，打造金寨乡村个性化推广模式。经营产品方面，结合特色农业成果的不断更新，需要进一步开发果蔬、药材、茶饮等特色品类，提升生产环节把控力度，提高产品质量标准。电商物流方面，推进县域电商公共服务中心、农村电商物流配送体系、乡村电商服务网点建设和巩固提升，将农村产品线上运营服务能力打造成有口碑的“王牌”。</w:t>
      </w:r>
    </w:p>
    <w:p>
      <w:pPr>
        <w:pStyle w:val="10"/>
        <w:spacing w:line="560" w:lineRule="exact"/>
        <w:ind w:firstLine="420" w:firstLineChars="200"/>
        <w:rPr>
          <w:rFonts w:ascii="微软雅黑" w:hAnsi="微软雅黑" w:eastAsia="微软雅黑"/>
          <w:sz w:val="24"/>
          <w:szCs w:val="24"/>
        </w:rPr>
      </w:pPr>
      <w:r>
        <w:drawing>
          <wp:anchor distT="0" distB="0" distL="114300" distR="114300" simplePos="0" relativeHeight="251668480" behindDoc="0" locked="0" layoutInCell="1" allowOverlap="1">
            <wp:simplePos x="0" y="0"/>
            <wp:positionH relativeFrom="column">
              <wp:posOffset>3067050</wp:posOffset>
            </wp:positionH>
            <wp:positionV relativeFrom="paragraph">
              <wp:posOffset>59690</wp:posOffset>
            </wp:positionV>
            <wp:extent cx="2404110" cy="1685925"/>
            <wp:effectExtent l="38100" t="38100" r="91440" b="10477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4110" cy="1685925"/>
                    </a:xfrm>
                    <a:prstGeom prst="rect">
                      <a:avLst/>
                    </a:prstGeom>
                    <a:noFill/>
                    <a:ln>
                      <a:noFill/>
                    </a:ln>
                    <a:effectLst>
                      <a:outerShdw blurRad="50800" dist="38100" dir="2700000" algn="tl" rotWithShape="0">
                        <a:prstClr val="black">
                          <a:alpha val="40000"/>
                        </a:prstClr>
                      </a:outerShdw>
                    </a:effectLst>
                  </pic:spPr>
                </pic:pic>
              </a:graphicData>
            </a:graphic>
          </wp:anchor>
        </w:drawing>
      </w:r>
      <w:r>
        <w:rPr>
          <w:rFonts w:ascii="微软雅黑" w:hAnsi="微软雅黑" w:eastAsia="微软雅黑"/>
          <w:sz w:val="24"/>
          <w:szCs w:val="24"/>
        </w:rPr>
        <w:drawing>
          <wp:anchor distT="0" distB="0" distL="114300" distR="114300" simplePos="0" relativeHeight="251667456" behindDoc="0" locked="0" layoutInCell="1" allowOverlap="1">
            <wp:simplePos x="0" y="0"/>
            <wp:positionH relativeFrom="column">
              <wp:posOffset>333375</wp:posOffset>
            </wp:positionH>
            <wp:positionV relativeFrom="paragraph">
              <wp:posOffset>50800</wp:posOffset>
            </wp:positionV>
            <wp:extent cx="2524125" cy="1706880"/>
            <wp:effectExtent l="38100" t="38100" r="104775" b="10287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24125" cy="1706880"/>
                    </a:xfrm>
                    <a:prstGeom prst="rect">
                      <a:avLst/>
                    </a:prstGeom>
                    <a:noFill/>
                    <a:effectLst>
                      <a:outerShdw blurRad="50800" dist="38100" dir="2700000" algn="tl" rotWithShape="0">
                        <a:prstClr val="black">
                          <a:alpha val="40000"/>
                        </a:prstClr>
                      </a:outerShdw>
                    </a:effectLst>
                  </pic:spPr>
                </pic:pic>
              </a:graphicData>
            </a:graphic>
          </wp:anchor>
        </w:drawing>
      </w: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tbl>
      <w:tblPr>
        <w:tblStyle w:val="22"/>
        <w:tblW w:w="90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15"/>
        <w:gridCol w:w="4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15" w:type="dxa"/>
            <w:vAlign w:val="center"/>
          </w:tcPr>
          <w:p>
            <w:pPr>
              <w:jc w:val="center"/>
              <w:rPr>
                <w:rFonts w:ascii="Times New Roman" w:hAnsi="Times New Roman"/>
              </w:rPr>
            </w:pPr>
            <w:r>
              <w:rPr>
                <w:rFonts w:hint="eastAsia" w:ascii="宋体" w:hAnsi="宋体"/>
                <w:sz w:val="24"/>
                <w:szCs w:val="24"/>
              </w:rPr>
              <w:t>图2</w:t>
            </w:r>
            <w:r>
              <w:rPr>
                <w:rFonts w:ascii="宋体" w:hAnsi="宋体"/>
                <w:sz w:val="24"/>
                <w:szCs w:val="24"/>
              </w:rPr>
              <w:t xml:space="preserve"> </w:t>
            </w:r>
            <w:r>
              <w:rPr>
                <w:rFonts w:hint="eastAsia" w:ascii="宋体" w:hAnsi="宋体"/>
                <w:sz w:val="24"/>
                <w:szCs w:val="24"/>
              </w:rPr>
              <w:t>电商主播宣传推广特色农产品</w:t>
            </w:r>
          </w:p>
        </w:tc>
        <w:tc>
          <w:tcPr>
            <w:tcW w:w="4515" w:type="dxa"/>
            <w:vAlign w:val="center"/>
          </w:tcPr>
          <w:p>
            <w:pPr>
              <w:jc w:val="center"/>
              <w:rPr>
                <w:rFonts w:ascii="Times New Roman" w:hAnsi="Times New Roman"/>
              </w:rPr>
            </w:pPr>
            <w:r>
              <w:rPr>
                <w:rFonts w:hint="eastAsia" w:ascii="宋体" w:hAnsi="宋体"/>
                <w:sz w:val="24"/>
                <w:szCs w:val="24"/>
              </w:rPr>
              <w:t>图3</w:t>
            </w:r>
            <w:r>
              <w:rPr>
                <w:rFonts w:ascii="宋体" w:hAnsi="宋体"/>
                <w:sz w:val="24"/>
                <w:szCs w:val="24"/>
              </w:rPr>
              <w:t xml:space="preserve"> </w:t>
            </w:r>
            <w:r>
              <w:rPr>
                <w:rFonts w:hint="eastAsia" w:ascii="宋体" w:hAnsi="宋体"/>
                <w:sz w:val="24"/>
                <w:szCs w:val="24"/>
              </w:rPr>
              <w:t>大别山粮食物流产业园规划图</w:t>
            </w:r>
          </w:p>
        </w:tc>
      </w:tr>
    </w:tbl>
    <w:p>
      <w:pPr>
        <w:pStyle w:val="3"/>
        <w:rPr>
          <w:b w:val="0"/>
        </w:rPr>
      </w:pPr>
      <w:bookmarkStart w:id="11" w:name="_Toc113029572"/>
      <w:r>
        <w:rPr>
          <w:rFonts w:hint="eastAsia"/>
          <w:b w:val="0"/>
        </w:rPr>
        <w:t>三、招商引资仍为重点，系统培训需合理有序进行</w:t>
      </w:r>
      <w:bookmarkEnd w:id="11"/>
    </w:p>
    <w:p>
      <w:pPr>
        <w:pStyle w:val="10"/>
        <w:spacing w:line="440" w:lineRule="exact"/>
        <w:ind w:firstLine="480" w:firstLineChars="200"/>
        <w:rPr>
          <w:rFonts w:hAnsi="宋体"/>
          <w:sz w:val="24"/>
          <w:szCs w:val="24"/>
        </w:rPr>
      </w:pPr>
      <w:r>
        <w:rPr>
          <w:rFonts w:hint="eastAsia" w:hAnsi="宋体"/>
          <w:sz w:val="24"/>
          <w:szCs w:val="24"/>
        </w:rPr>
        <w:t>当前，金寨县将招商引资工作视为重中之重，坚持以“抓项目投资、促经济增长”理念，通过系统的学习培训，切实增强招商干部的招商引资意识和能力。该项工作的技术性较强、专业要求较高，因此务必把控好学习培训过程中的循序渐进，切忌“为了完成任务而培训”。在部署系统性培训的过程中，可以将学习内容划分为经济常识、国家政策、专业术语、谈判技能、县域情况等多个方面，使得招商干部及基层工作人员都能逐渐懂经济、善沟通、会谈判、了解项目、精通政策、掌握规律。作为合格的招商人员要有足够的经济知识，学习国家政策、学习经济常识、学习专业术语；要有详实的业务知识，熟知县情产情、找准目标企业、掌握要素资源；要有充分的思想认识，拥有亲和力、提升判断力、增强抗压力；要提高谈判能力，明确商谈重点，态度上开诚布公、有礼有节，经济上算好大账、有分有寸，技巧上要灵活务实、有进有退。</w:t>
      </w:r>
    </w:p>
    <w:p>
      <w:pPr>
        <w:pStyle w:val="10"/>
        <w:spacing w:line="560" w:lineRule="exact"/>
        <w:ind w:firstLine="480" w:firstLineChars="200"/>
        <w:rPr>
          <w:rFonts w:ascii="微软雅黑" w:hAnsi="微软雅黑" w:eastAsia="微软雅黑"/>
          <w:sz w:val="24"/>
          <w:szCs w:val="24"/>
        </w:rPr>
      </w:pPr>
      <w:r>
        <w:rPr>
          <w:rFonts w:ascii="微软雅黑" w:hAnsi="微软雅黑" w:eastAsia="微软雅黑"/>
          <w:sz w:val="24"/>
          <w:szCs w:val="24"/>
        </w:rPr>
        <w:drawing>
          <wp:anchor distT="0" distB="0" distL="114300" distR="114300" simplePos="0" relativeHeight="251669504" behindDoc="0" locked="0" layoutInCell="1" allowOverlap="1">
            <wp:simplePos x="0" y="0"/>
            <wp:positionH relativeFrom="margin">
              <wp:posOffset>1475105</wp:posOffset>
            </wp:positionH>
            <wp:positionV relativeFrom="paragraph">
              <wp:posOffset>50800</wp:posOffset>
            </wp:positionV>
            <wp:extent cx="3144520" cy="1971675"/>
            <wp:effectExtent l="38100" t="38100" r="94615" b="8572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44294" cy="1971675"/>
                    </a:xfrm>
                    <a:prstGeom prst="rect">
                      <a:avLst/>
                    </a:prstGeom>
                    <a:noFill/>
                    <a:effectLst>
                      <a:outerShdw blurRad="50800" dist="38100" dir="2700000" algn="tl" rotWithShape="0">
                        <a:prstClr val="black">
                          <a:alpha val="40000"/>
                        </a:prstClr>
                      </a:outerShdw>
                    </a:effectLst>
                  </pic:spPr>
                </pic:pic>
              </a:graphicData>
            </a:graphic>
          </wp:anchor>
        </w:drawing>
      </w:r>
    </w:p>
    <w:p>
      <w:pPr>
        <w:pStyle w:val="10"/>
        <w:spacing w:line="560" w:lineRule="exact"/>
        <w:ind w:firstLine="480" w:firstLineChars="200"/>
        <w:rPr>
          <w:rFonts w:ascii="微软雅黑" w:hAnsi="微软雅黑" w:eastAsia="微软雅黑"/>
          <w:sz w:val="24"/>
          <w:szCs w:val="24"/>
        </w:rPr>
      </w:pPr>
    </w:p>
    <w:p>
      <w:pPr>
        <w:pStyle w:val="10"/>
        <w:spacing w:line="560" w:lineRule="exact"/>
        <w:ind w:firstLine="480" w:firstLineChars="200"/>
        <w:rPr>
          <w:rFonts w:ascii="微软雅黑" w:hAnsi="微软雅黑" w:eastAsia="微软雅黑"/>
          <w:sz w:val="24"/>
          <w:szCs w:val="24"/>
        </w:rPr>
      </w:pPr>
    </w:p>
    <w:p>
      <w:pPr>
        <w:pStyle w:val="10"/>
        <w:spacing w:line="560" w:lineRule="exact"/>
        <w:rPr>
          <w:rFonts w:ascii="微软雅黑" w:hAnsi="微软雅黑" w:eastAsia="微软雅黑"/>
          <w:sz w:val="24"/>
          <w:szCs w:val="24"/>
        </w:rPr>
      </w:pPr>
    </w:p>
    <w:p>
      <w:pPr>
        <w:pStyle w:val="10"/>
        <w:spacing w:line="420" w:lineRule="exact"/>
        <w:ind w:firstLine="400" w:firstLineChars="200"/>
        <w:rPr>
          <w:rFonts w:ascii="黑体" w:hAnsi="黑体" w:eastAsia="黑体" w:cs="黑体"/>
          <w:color w:val="5D5D5D"/>
          <w:sz w:val="20"/>
        </w:rPr>
      </w:pPr>
    </w:p>
    <w:p>
      <w:pPr>
        <w:pStyle w:val="10"/>
        <w:spacing w:line="420" w:lineRule="exact"/>
        <w:ind w:firstLine="400" w:firstLineChars="200"/>
        <w:rPr>
          <w:rFonts w:ascii="黑体" w:hAnsi="黑体" w:eastAsia="黑体" w:cs="黑体"/>
          <w:color w:val="5D5D5D"/>
          <w:sz w:val="20"/>
        </w:rPr>
      </w:pPr>
    </w:p>
    <w:p>
      <w:pPr>
        <w:pStyle w:val="10"/>
        <w:spacing w:line="560" w:lineRule="exact"/>
        <w:ind w:firstLine="480" w:firstLineChars="200"/>
        <w:jc w:val="center"/>
        <w:rPr>
          <w:rFonts w:hAnsi="宋体"/>
          <w:sz w:val="24"/>
          <w:szCs w:val="24"/>
        </w:rPr>
      </w:pPr>
      <w:r>
        <w:rPr>
          <w:rFonts w:hint="eastAsia" w:hAnsi="宋体"/>
          <w:sz w:val="24"/>
          <w:szCs w:val="24"/>
        </w:rPr>
        <w:t>图4</w:t>
      </w:r>
      <w:r>
        <w:rPr>
          <w:rFonts w:hAnsi="宋体"/>
          <w:sz w:val="24"/>
          <w:szCs w:val="24"/>
        </w:rPr>
        <w:t xml:space="preserve"> 2022年度“双招双引”专题培训班在金寨干部学院举办</w:t>
      </w:r>
    </w:p>
    <w:p>
      <w:pPr>
        <w:pStyle w:val="3"/>
        <w:rPr>
          <w:b w:val="0"/>
        </w:rPr>
      </w:pPr>
      <w:bookmarkStart w:id="12" w:name="_Toc113029573"/>
      <w:r>
        <w:rPr>
          <w:rFonts w:hint="eastAsia"/>
          <w:b w:val="0"/>
        </w:rPr>
        <w:t>四、教育和引进两手抓，结合实际情况调整振兴策略</w:t>
      </w:r>
      <w:bookmarkEnd w:id="12"/>
    </w:p>
    <w:p>
      <w:pPr>
        <w:pStyle w:val="10"/>
        <w:spacing w:line="440" w:lineRule="exact"/>
        <w:ind w:firstLine="480" w:firstLineChars="200"/>
        <w:rPr>
          <w:rFonts w:hAnsi="宋体"/>
          <w:sz w:val="24"/>
          <w:szCs w:val="24"/>
        </w:rPr>
      </w:pPr>
      <w:r>
        <w:rPr>
          <w:rFonts w:hint="eastAsia" w:hAnsi="宋体"/>
          <w:sz w:val="24"/>
          <w:szCs w:val="24"/>
        </w:rPr>
        <w:t>新时代的振兴道路上最不可或缺的即是教育和人才的振兴。金寨县长期重视人才的教育和引进，为返乡人才给予政策支持和财政补贴，还陆续开展了“金凤还巢”，“双招双引”等项目，着力引进外区人才为金寨建设作出贡献，持续助力服务本地人才返乡创业就业。截至目前，全县累计返乡就业创业1.5万人，创办市场主体4</w:t>
      </w:r>
      <w:r>
        <w:rPr>
          <w:rFonts w:hAnsi="宋体"/>
          <w:sz w:val="24"/>
          <w:szCs w:val="24"/>
        </w:rPr>
        <w:t>,</w:t>
      </w:r>
      <w:r>
        <w:rPr>
          <w:rFonts w:hint="eastAsia" w:hAnsi="宋体"/>
          <w:sz w:val="24"/>
          <w:szCs w:val="24"/>
        </w:rPr>
        <w:t>300多家，其中规模工业企业38家，占规模工业企业总数的27%，带动就业2.2万人。</w:t>
      </w:r>
    </w:p>
    <w:p>
      <w:pPr>
        <w:pStyle w:val="10"/>
        <w:spacing w:line="440" w:lineRule="exact"/>
        <w:ind w:firstLine="480" w:firstLineChars="200"/>
        <w:rPr>
          <w:rFonts w:hAnsi="宋体"/>
          <w:sz w:val="24"/>
          <w:szCs w:val="24"/>
        </w:rPr>
      </w:pPr>
      <w:r>
        <w:rPr>
          <w:rFonts w:hint="eastAsia" w:hAnsi="宋体"/>
          <w:sz w:val="24"/>
          <w:szCs w:val="24"/>
        </w:rPr>
        <w:t>具体成效来看，“金凤还巢”综合服务信息平台信息库中共采集外流人员信息17万人，而累积引导人才回流1.5万人，回流比例仅为8.82%，人才回流效率有待提升。据政府官网信息显示，各乡镇都相继出台了相关人才回流引进工作规划和侧重点，但未查询到全县整体的工作部署文件，这也暴露出金寨人才引进工作缺乏统筹性和整体性。就此现象，我方建议从整体规划上统筹布局人才引进工作，以全面带动局部，完善利用已经搭建完成的综合信息服务平台、返乡服务平台，以最高的效率完成企业缺工信息库的建立，统一规划企业招聘的要求和培训管理，从而真正实现县乡村三级联动回流人才的有效机制。然而，通过借鉴经济实力相似的舒城县过去几年的发展战略，金寨县各乡镇也需要根据经济发展的阶段的不断变化，更新更有针对性的人才引进方式。待经济实力有所提高，金寨县可合理利用新业态的成功发展优势吸引更多人才资源。</w:t>
      </w:r>
    </w:p>
    <w:p>
      <w:pPr>
        <w:pStyle w:val="10"/>
        <w:spacing w:line="440" w:lineRule="exact"/>
        <w:ind w:firstLine="480" w:firstLineChars="200"/>
        <w:rPr>
          <w:rFonts w:ascii="微软雅黑" w:hAnsi="微软雅黑" w:eastAsia="微软雅黑"/>
          <w:sz w:val="24"/>
          <w:szCs w:val="24"/>
        </w:rPr>
      </w:pPr>
      <w:r>
        <w:rPr>
          <w:rFonts w:hint="eastAsia" w:hAnsi="宋体"/>
          <w:sz w:val="24"/>
          <w:szCs w:val="24"/>
        </w:rPr>
        <w:t>教育振兴方面，金寨县和华泰证券有着成功的合作案例。“益心华泰 一个明天”是由华泰证券于2016年发起的乡村教育项目，旨在助力儿童健康成长，促进教育公平，致力提升留守儿童的心理健康水平和综合素质，动员多方力量帮助困境儿童持续改善生活条件。截至2022年6月，项目累计受益儿童77,151人次，受益教师9,164人次，带动103,456人次捐赠善款款2,196,981.21元，共资助861人次困境儿童。其中，金寨县双河初级实验学校的师生，共计1</w:t>
      </w:r>
      <w:r>
        <w:rPr>
          <w:rFonts w:hAnsi="宋体"/>
          <w:sz w:val="24"/>
          <w:szCs w:val="24"/>
        </w:rPr>
        <w:t>,</w:t>
      </w:r>
      <w:r>
        <w:rPr>
          <w:rFonts w:hint="eastAsia" w:hAnsi="宋体"/>
          <w:sz w:val="24"/>
          <w:szCs w:val="24"/>
        </w:rPr>
        <w:t>160人次，曾在2021年参与过此项目。针对留守儿童易出现低安全感、自卑的心理及行为问题以及乡村教师自身的需求和能力亟需提升的两个重点需求，华泰证券为当地留守儿童精心安排了兴趣班体验课程、创造力手工活动、生态自然观察、专业心理辅导、非遗文化表演等丰富的学习生活体验，让孩子们释放童年活力，缓解心情，同时为学校和教师提供资金改进食堂、增加补贴、暑期教师培训、教师线上论坛等方方面面的支持和帮扶，收获政府，校方及师生的一致好评。此外，根据长期以来金寨县将义务教育阶段作为教育振兴重点抓手的发展规划，我方建议在管理制度配套、教育质量升位的同时，应将教师人才建设定为新时代教育振兴发展的关键。通过抓制度创新，建立教育人才建设长效机制；抓刚性补充，吸引优秀人才加入育人队伍中来；抓交流轮岗，从资源配置上优化人才结构；抓培养培训，整体提升教育人才队伍素质，维持住“教师人人尽展其才，好老师不断涌现”的良好局面，使得金寨教育向着更均衡和更优质方向发展。</w:t>
      </w:r>
    </w:p>
    <w:p>
      <w:pPr>
        <w:pStyle w:val="10"/>
        <w:spacing w:line="560" w:lineRule="exact"/>
        <w:ind w:firstLine="562" w:firstLineChars="200"/>
        <w:rPr>
          <w:rFonts w:ascii="微软雅黑" w:hAnsi="微软雅黑" w:eastAsia="微软雅黑"/>
          <w:sz w:val="24"/>
          <w:szCs w:val="24"/>
        </w:rPr>
      </w:pPr>
      <w:r>
        <w:rPr>
          <w:rFonts w:ascii="仿宋" w:hAnsi="仿宋" w:eastAsia="仿宋"/>
          <w:b/>
          <w:sz w:val="28"/>
          <w:szCs w:val="28"/>
        </w:rPr>
        <w:drawing>
          <wp:anchor distT="0" distB="0" distL="114300" distR="114300" simplePos="0" relativeHeight="251671552" behindDoc="0" locked="0" layoutInCell="1" allowOverlap="1">
            <wp:simplePos x="0" y="0"/>
            <wp:positionH relativeFrom="margin">
              <wp:posOffset>3190875</wp:posOffset>
            </wp:positionH>
            <wp:positionV relativeFrom="paragraph">
              <wp:posOffset>76200</wp:posOffset>
            </wp:positionV>
            <wp:extent cx="2400300" cy="1533525"/>
            <wp:effectExtent l="38100" t="38100" r="95250" b="104775"/>
            <wp:wrapNone/>
            <wp:docPr id="28" name="图片 28" descr="微信图片_2021041614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4161410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00" cy="1533525"/>
                    </a:xfrm>
                    <a:prstGeom prst="rect">
                      <a:avLst/>
                    </a:prstGeom>
                    <a:effectLst>
                      <a:outerShdw blurRad="50800" dist="38100" dir="2700000" algn="tl" rotWithShape="0">
                        <a:prstClr val="black">
                          <a:alpha val="40000"/>
                        </a:prstClr>
                      </a:outerShdw>
                    </a:effectLst>
                  </pic:spPr>
                </pic:pic>
              </a:graphicData>
            </a:graphic>
          </wp:anchor>
        </w:drawing>
      </w:r>
      <w:r>
        <w:rPr>
          <w:rFonts w:ascii="微软雅黑" w:hAnsi="微软雅黑" w:eastAsia="微软雅黑"/>
          <w:sz w:val="24"/>
          <w:szCs w:val="24"/>
        </w:rPr>
        <w:drawing>
          <wp:anchor distT="0" distB="0" distL="114300" distR="114300" simplePos="0" relativeHeight="251670528" behindDoc="0" locked="0" layoutInCell="1" allowOverlap="1">
            <wp:simplePos x="0" y="0"/>
            <wp:positionH relativeFrom="column">
              <wp:posOffset>352425</wp:posOffset>
            </wp:positionH>
            <wp:positionV relativeFrom="paragraph">
              <wp:posOffset>47625</wp:posOffset>
            </wp:positionV>
            <wp:extent cx="2590800" cy="1581150"/>
            <wp:effectExtent l="38100" t="38100" r="95250" b="9525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90800" cy="1581150"/>
                    </a:xfrm>
                    <a:prstGeom prst="rect">
                      <a:avLst/>
                    </a:prstGeom>
                    <a:noFill/>
                    <a:effectLst>
                      <a:outerShdw blurRad="50800" dist="38100" dir="2700000" algn="tl" rotWithShape="0">
                        <a:prstClr val="black">
                          <a:alpha val="40000"/>
                        </a:prstClr>
                      </a:outerShdw>
                    </a:effectLst>
                  </pic:spPr>
                </pic:pic>
              </a:graphicData>
            </a:graphic>
          </wp:anchor>
        </w:drawing>
      </w:r>
    </w:p>
    <w:p/>
    <w:p/>
    <w:p/>
    <w:p/>
    <w:p/>
    <w:p/>
    <w:tbl>
      <w:tblPr>
        <w:tblStyle w:val="22"/>
        <w:tblW w:w="90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15"/>
        <w:gridCol w:w="4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515" w:type="dxa"/>
            <w:vAlign w:val="center"/>
          </w:tcPr>
          <w:p>
            <w:pPr>
              <w:jc w:val="center"/>
              <w:rPr>
                <w:rFonts w:ascii="黑体" w:hAnsi="黑体" w:eastAsia="黑体" w:cs="黑体"/>
                <w:color w:val="5D5D5D"/>
                <w:sz w:val="20"/>
              </w:rPr>
            </w:pPr>
            <w:r>
              <w:rPr>
                <w:rFonts w:hint="eastAsia" w:ascii="黑体" w:hAnsi="黑体" w:eastAsia="黑体" w:cs="黑体"/>
                <w:color w:val="5D5D5D"/>
                <w:sz w:val="20"/>
              </w:rPr>
              <w:t xml:space="preserve"> </w:t>
            </w:r>
            <w:r>
              <w:rPr>
                <w:rFonts w:ascii="黑体" w:hAnsi="黑体" w:eastAsia="黑体" w:cs="黑体"/>
                <w:color w:val="5D5D5D"/>
                <w:sz w:val="20"/>
              </w:rPr>
              <w:t xml:space="preserve">  </w:t>
            </w:r>
          </w:p>
        </w:tc>
        <w:tc>
          <w:tcPr>
            <w:tcW w:w="4515" w:type="dxa"/>
            <w:vAlign w:val="center"/>
          </w:tcPr>
          <w:p>
            <w:pPr>
              <w:jc w:val="center"/>
              <w:rPr>
                <w:rFonts w:ascii="黑体" w:hAnsi="黑体" w:eastAsia="黑体" w:cs="黑体"/>
                <w:color w:val="5D5D5D"/>
                <w:sz w:val="20"/>
              </w:rPr>
            </w:pPr>
            <w:r>
              <w:rPr>
                <w:rFonts w:hint="eastAsia" w:ascii="黑体" w:hAnsi="黑体" w:eastAsia="黑体" w:cs="黑体"/>
                <w:color w:val="5D5D5D"/>
                <w:sz w:val="20"/>
              </w:rPr>
              <w:t xml:space="preserve"> </w:t>
            </w:r>
          </w:p>
        </w:tc>
      </w:tr>
    </w:tbl>
    <w:p>
      <w:pPr>
        <w:ind w:firstLine="1200" w:firstLineChars="500"/>
      </w:pPr>
      <w:r>
        <w:rPr>
          <w:rFonts w:hint="eastAsia" w:ascii="宋体" w:hAnsi="宋体"/>
          <w:sz w:val="24"/>
          <w:szCs w:val="24"/>
        </w:rPr>
        <w:t>图5</w:t>
      </w:r>
      <w:r>
        <w:rPr>
          <w:rFonts w:ascii="宋体" w:hAnsi="宋体"/>
          <w:sz w:val="24"/>
          <w:szCs w:val="24"/>
        </w:rPr>
        <w:t xml:space="preserve"> </w:t>
      </w:r>
      <w:r>
        <w:rPr>
          <w:rFonts w:hint="eastAsia" w:ascii="宋体" w:hAnsi="宋体"/>
          <w:sz w:val="24"/>
          <w:szCs w:val="24"/>
        </w:rPr>
        <w:t xml:space="preserve">文艺汇报表演合影 </w:t>
      </w:r>
      <w:r>
        <w:rPr>
          <w:rFonts w:ascii="黑体" w:hAnsi="黑体" w:eastAsia="黑体" w:cs="黑体"/>
          <w:color w:val="5D5D5D"/>
          <w:sz w:val="20"/>
        </w:rPr>
        <w:t xml:space="preserve">                 </w:t>
      </w:r>
      <w:r>
        <w:rPr>
          <w:rFonts w:hint="eastAsia" w:ascii="宋体" w:hAnsi="宋体"/>
          <w:sz w:val="24"/>
          <w:szCs w:val="24"/>
        </w:rPr>
        <w:t>图6</w:t>
      </w:r>
      <w:r>
        <w:rPr>
          <w:rFonts w:ascii="黑体" w:hAnsi="黑体" w:eastAsia="黑体" w:cs="黑体"/>
          <w:color w:val="5D5D5D"/>
          <w:sz w:val="20"/>
        </w:rPr>
        <w:t xml:space="preserve"> </w:t>
      </w:r>
      <w:r>
        <w:rPr>
          <w:rFonts w:hint="eastAsia" w:ascii="宋体" w:hAnsi="宋体"/>
          <w:sz w:val="24"/>
          <w:szCs w:val="24"/>
        </w:rPr>
        <w:t>留守儿童心理辅导讲座</w:t>
      </w:r>
    </w:p>
    <w:sectPr>
      <w:footerReference r:id="rId5" w:type="default"/>
      <w:pgSz w:w="11906" w:h="16838"/>
      <w:pgMar w:top="1440" w:right="1440" w:bottom="1440" w:left="1440" w:header="851" w:footer="462"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1"/>
        <w:szCs w:val="21"/>
      </w:rPr>
    </w:pPr>
  </w:p>
  <w:p>
    <w:pPr>
      <w:pStyle w:val="14"/>
      <w:jc w:val="right"/>
      <w:rPr>
        <w:rFonts w:ascii="Arial" w:hAnsi="Arial" w:eastAsia="微软雅黑"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707504"/>
      <w:docPartObj>
        <w:docPartGallery w:val="AutoText"/>
      </w:docPartObj>
    </w:sdtPr>
    <w:sdtEndPr>
      <w:rPr>
        <w:sz w:val="21"/>
        <w:szCs w:val="21"/>
      </w:rPr>
    </w:sdtEndPr>
    <w:sdtContent>
      <w:p>
        <w:pPr>
          <w:pStyle w:val="14"/>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12</w:t>
        </w:r>
        <w:r>
          <w:rPr>
            <w:sz w:val="21"/>
            <w:szCs w:val="21"/>
          </w:rPr>
          <w:fldChar w:fldCharType="end"/>
        </w:r>
      </w:p>
    </w:sdtContent>
  </w:sdt>
  <w:p>
    <w:pPr>
      <w:pStyle w:val="14"/>
      <w:jc w:val="right"/>
      <w:rPr>
        <w:rFonts w:ascii="Arial" w:hAnsi="Arial" w:eastAsia="微软雅黑" w:cs="Arial"/>
        <w:sz w:val="20"/>
        <w:szCs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rPr>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formatting="1"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303"/>
    <w:rsid w:val="0000124F"/>
    <w:rsid w:val="000016AF"/>
    <w:rsid w:val="00002C07"/>
    <w:rsid w:val="0000521B"/>
    <w:rsid w:val="00005BE1"/>
    <w:rsid w:val="00006942"/>
    <w:rsid w:val="00006AF3"/>
    <w:rsid w:val="0000794F"/>
    <w:rsid w:val="00011D3F"/>
    <w:rsid w:val="00012143"/>
    <w:rsid w:val="000130C9"/>
    <w:rsid w:val="0001361E"/>
    <w:rsid w:val="0001427B"/>
    <w:rsid w:val="00014AFF"/>
    <w:rsid w:val="00015289"/>
    <w:rsid w:val="00015FCC"/>
    <w:rsid w:val="0001618E"/>
    <w:rsid w:val="00016C55"/>
    <w:rsid w:val="00017303"/>
    <w:rsid w:val="00017B06"/>
    <w:rsid w:val="00020F8E"/>
    <w:rsid w:val="000211D9"/>
    <w:rsid w:val="000216BB"/>
    <w:rsid w:val="000221D1"/>
    <w:rsid w:val="000229E9"/>
    <w:rsid w:val="00022F90"/>
    <w:rsid w:val="00023761"/>
    <w:rsid w:val="000250BA"/>
    <w:rsid w:val="000272C5"/>
    <w:rsid w:val="00031B55"/>
    <w:rsid w:val="00031E61"/>
    <w:rsid w:val="0003224A"/>
    <w:rsid w:val="00034286"/>
    <w:rsid w:val="0003450A"/>
    <w:rsid w:val="0003503B"/>
    <w:rsid w:val="00035250"/>
    <w:rsid w:val="0003533F"/>
    <w:rsid w:val="000356D6"/>
    <w:rsid w:val="00035D76"/>
    <w:rsid w:val="0003617A"/>
    <w:rsid w:val="0003678D"/>
    <w:rsid w:val="00040F88"/>
    <w:rsid w:val="000426EA"/>
    <w:rsid w:val="000430E4"/>
    <w:rsid w:val="00043B41"/>
    <w:rsid w:val="0004454A"/>
    <w:rsid w:val="00045915"/>
    <w:rsid w:val="0004599F"/>
    <w:rsid w:val="00045C2C"/>
    <w:rsid w:val="000478D7"/>
    <w:rsid w:val="00047E5D"/>
    <w:rsid w:val="0005045E"/>
    <w:rsid w:val="000511A5"/>
    <w:rsid w:val="00051632"/>
    <w:rsid w:val="00051C3C"/>
    <w:rsid w:val="00052582"/>
    <w:rsid w:val="00056062"/>
    <w:rsid w:val="00057971"/>
    <w:rsid w:val="0006079B"/>
    <w:rsid w:val="00063BB7"/>
    <w:rsid w:val="0006487F"/>
    <w:rsid w:val="00066E7C"/>
    <w:rsid w:val="000676E9"/>
    <w:rsid w:val="00067946"/>
    <w:rsid w:val="00067B7C"/>
    <w:rsid w:val="00070CDE"/>
    <w:rsid w:val="0007258F"/>
    <w:rsid w:val="00073193"/>
    <w:rsid w:val="00073E70"/>
    <w:rsid w:val="00075308"/>
    <w:rsid w:val="00075862"/>
    <w:rsid w:val="00076DE0"/>
    <w:rsid w:val="000777FF"/>
    <w:rsid w:val="0007790A"/>
    <w:rsid w:val="00081E05"/>
    <w:rsid w:val="00086160"/>
    <w:rsid w:val="000866F2"/>
    <w:rsid w:val="000866FF"/>
    <w:rsid w:val="00086B59"/>
    <w:rsid w:val="00087738"/>
    <w:rsid w:val="00091A5B"/>
    <w:rsid w:val="00093652"/>
    <w:rsid w:val="00093F18"/>
    <w:rsid w:val="000950F4"/>
    <w:rsid w:val="000958E5"/>
    <w:rsid w:val="00097816"/>
    <w:rsid w:val="000A0E25"/>
    <w:rsid w:val="000A3C96"/>
    <w:rsid w:val="000A3CD2"/>
    <w:rsid w:val="000A4F42"/>
    <w:rsid w:val="000A7B4D"/>
    <w:rsid w:val="000B11BE"/>
    <w:rsid w:val="000B39E8"/>
    <w:rsid w:val="000B4448"/>
    <w:rsid w:val="000B52A8"/>
    <w:rsid w:val="000B5826"/>
    <w:rsid w:val="000B75D0"/>
    <w:rsid w:val="000B788C"/>
    <w:rsid w:val="000C1F80"/>
    <w:rsid w:val="000C2645"/>
    <w:rsid w:val="000C27A5"/>
    <w:rsid w:val="000C28B4"/>
    <w:rsid w:val="000C2C11"/>
    <w:rsid w:val="000C2DC4"/>
    <w:rsid w:val="000C3137"/>
    <w:rsid w:val="000C37D4"/>
    <w:rsid w:val="000C3C1D"/>
    <w:rsid w:val="000C41EE"/>
    <w:rsid w:val="000C58FE"/>
    <w:rsid w:val="000C72A9"/>
    <w:rsid w:val="000C793E"/>
    <w:rsid w:val="000D0878"/>
    <w:rsid w:val="000D25F7"/>
    <w:rsid w:val="000D4435"/>
    <w:rsid w:val="000D730C"/>
    <w:rsid w:val="000D7FE0"/>
    <w:rsid w:val="000E02C6"/>
    <w:rsid w:val="000E1F81"/>
    <w:rsid w:val="000E23FC"/>
    <w:rsid w:val="000E2476"/>
    <w:rsid w:val="000E5EBE"/>
    <w:rsid w:val="000E5F5F"/>
    <w:rsid w:val="000E688D"/>
    <w:rsid w:val="000F05B3"/>
    <w:rsid w:val="000F1DC1"/>
    <w:rsid w:val="000F23B4"/>
    <w:rsid w:val="000F3BA9"/>
    <w:rsid w:val="000F3C2C"/>
    <w:rsid w:val="000F46E1"/>
    <w:rsid w:val="000F7809"/>
    <w:rsid w:val="000F7D6B"/>
    <w:rsid w:val="001014AD"/>
    <w:rsid w:val="00102550"/>
    <w:rsid w:val="00102D00"/>
    <w:rsid w:val="0010343C"/>
    <w:rsid w:val="001037B1"/>
    <w:rsid w:val="00105228"/>
    <w:rsid w:val="00105420"/>
    <w:rsid w:val="00110B9C"/>
    <w:rsid w:val="00111A16"/>
    <w:rsid w:val="00111C6B"/>
    <w:rsid w:val="00112ACC"/>
    <w:rsid w:val="00113D1D"/>
    <w:rsid w:val="00114030"/>
    <w:rsid w:val="0011527C"/>
    <w:rsid w:val="0011569B"/>
    <w:rsid w:val="00115833"/>
    <w:rsid w:val="00117AB7"/>
    <w:rsid w:val="00120723"/>
    <w:rsid w:val="0012085E"/>
    <w:rsid w:val="001211AA"/>
    <w:rsid w:val="0012221C"/>
    <w:rsid w:val="001236DC"/>
    <w:rsid w:val="00123E94"/>
    <w:rsid w:val="001240BE"/>
    <w:rsid w:val="00124CA5"/>
    <w:rsid w:val="00125085"/>
    <w:rsid w:val="001260C1"/>
    <w:rsid w:val="001303BF"/>
    <w:rsid w:val="00130744"/>
    <w:rsid w:val="00130B88"/>
    <w:rsid w:val="00132570"/>
    <w:rsid w:val="00133B63"/>
    <w:rsid w:val="00133CFE"/>
    <w:rsid w:val="00134818"/>
    <w:rsid w:val="001350ED"/>
    <w:rsid w:val="00136690"/>
    <w:rsid w:val="00137FA8"/>
    <w:rsid w:val="00140695"/>
    <w:rsid w:val="00140D81"/>
    <w:rsid w:val="00140E73"/>
    <w:rsid w:val="001418BA"/>
    <w:rsid w:val="001418CB"/>
    <w:rsid w:val="00147093"/>
    <w:rsid w:val="001514A7"/>
    <w:rsid w:val="00151632"/>
    <w:rsid w:val="001540FD"/>
    <w:rsid w:val="0015501F"/>
    <w:rsid w:val="00156A81"/>
    <w:rsid w:val="00157204"/>
    <w:rsid w:val="00161135"/>
    <w:rsid w:val="0016158F"/>
    <w:rsid w:val="0016246A"/>
    <w:rsid w:val="001626E8"/>
    <w:rsid w:val="0016414F"/>
    <w:rsid w:val="00164FE3"/>
    <w:rsid w:val="001657EF"/>
    <w:rsid w:val="00166FDE"/>
    <w:rsid w:val="00170F8A"/>
    <w:rsid w:val="00171DF1"/>
    <w:rsid w:val="00173971"/>
    <w:rsid w:val="00173F95"/>
    <w:rsid w:val="00174C1C"/>
    <w:rsid w:val="00175DE3"/>
    <w:rsid w:val="00177B93"/>
    <w:rsid w:val="00177EB0"/>
    <w:rsid w:val="00180E52"/>
    <w:rsid w:val="00181873"/>
    <w:rsid w:val="001818A0"/>
    <w:rsid w:val="001826DC"/>
    <w:rsid w:val="00182DE8"/>
    <w:rsid w:val="00182E68"/>
    <w:rsid w:val="00183A70"/>
    <w:rsid w:val="00184B0B"/>
    <w:rsid w:val="00186A88"/>
    <w:rsid w:val="0018793A"/>
    <w:rsid w:val="00190295"/>
    <w:rsid w:val="001909E3"/>
    <w:rsid w:val="00191B85"/>
    <w:rsid w:val="00192EB1"/>
    <w:rsid w:val="0019487B"/>
    <w:rsid w:val="00194E6A"/>
    <w:rsid w:val="001952BB"/>
    <w:rsid w:val="00196A4B"/>
    <w:rsid w:val="00196EDA"/>
    <w:rsid w:val="00197106"/>
    <w:rsid w:val="00197833"/>
    <w:rsid w:val="001A0430"/>
    <w:rsid w:val="001A1F37"/>
    <w:rsid w:val="001A303A"/>
    <w:rsid w:val="001A3AA4"/>
    <w:rsid w:val="001A3B38"/>
    <w:rsid w:val="001A3DCA"/>
    <w:rsid w:val="001A4815"/>
    <w:rsid w:val="001A7CFF"/>
    <w:rsid w:val="001B3354"/>
    <w:rsid w:val="001B4205"/>
    <w:rsid w:val="001B4CD3"/>
    <w:rsid w:val="001B561F"/>
    <w:rsid w:val="001B58E6"/>
    <w:rsid w:val="001B669A"/>
    <w:rsid w:val="001C039B"/>
    <w:rsid w:val="001C09EB"/>
    <w:rsid w:val="001C13AB"/>
    <w:rsid w:val="001C2234"/>
    <w:rsid w:val="001C4741"/>
    <w:rsid w:val="001C503B"/>
    <w:rsid w:val="001C6060"/>
    <w:rsid w:val="001C67F4"/>
    <w:rsid w:val="001D0E72"/>
    <w:rsid w:val="001D0F90"/>
    <w:rsid w:val="001D1430"/>
    <w:rsid w:val="001D2608"/>
    <w:rsid w:val="001D38C0"/>
    <w:rsid w:val="001D3C1C"/>
    <w:rsid w:val="001D40ED"/>
    <w:rsid w:val="001D50B5"/>
    <w:rsid w:val="001D5ACD"/>
    <w:rsid w:val="001D66A7"/>
    <w:rsid w:val="001D6F3C"/>
    <w:rsid w:val="001D70CD"/>
    <w:rsid w:val="001E2082"/>
    <w:rsid w:val="001E49E6"/>
    <w:rsid w:val="001E5A35"/>
    <w:rsid w:val="001E70C1"/>
    <w:rsid w:val="001E7FBA"/>
    <w:rsid w:val="001F1059"/>
    <w:rsid w:val="001F29C2"/>
    <w:rsid w:val="001F3124"/>
    <w:rsid w:val="001F44AF"/>
    <w:rsid w:val="001F4B86"/>
    <w:rsid w:val="001F4BC0"/>
    <w:rsid w:val="001F5FFE"/>
    <w:rsid w:val="00200179"/>
    <w:rsid w:val="0020131B"/>
    <w:rsid w:val="00202E8F"/>
    <w:rsid w:val="00203133"/>
    <w:rsid w:val="002031BE"/>
    <w:rsid w:val="00205D70"/>
    <w:rsid w:val="00207627"/>
    <w:rsid w:val="0021053B"/>
    <w:rsid w:val="00210BB0"/>
    <w:rsid w:val="00210FDA"/>
    <w:rsid w:val="00211BBD"/>
    <w:rsid w:val="00211D42"/>
    <w:rsid w:val="00214C89"/>
    <w:rsid w:val="00214DC7"/>
    <w:rsid w:val="00214E3E"/>
    <w:rsid w:val="00216449"/>
    <w:rsid w:val="0021745F"/>
    <w:rsid w:val="002210EC"/>
    <w:rsid w:val="00221E5A"/>
    <w:rsid w:val="002221B6"/>
    <w:rsid w:val="00222C01"/>
    <w:rsid w:val="00222EA3"/>
    <w:rsid w:val="00222F99"/>
    <w:rsid w:val="0022337D"/>
    <w:rsid w:val="00224BB0"/>
    <w:rsid w:val="00226822"/>
    <w:rsid w:val="002268E3"/>
    <w:rsid w:val="00226E10"/>
    <w:rsid w:val="00227266"/>
    <w:rsid w:val="00227CEC"/>
    <w:rsid w:val="002301D6"/>
    <w:rsid w:val="002302CE"/>
    <w:rsid w:val="002303C3"/>
    <w:rsid w:val="00230582"/>
    <w:rsid w:val="002319EC"/>
    <w:rsid w:val="002320DC"/>
    <w:rsid w:val="002324CE"/>
    <w:rsid w:val="00233890"/>
    <w:rsid w:val="002340BE"/>
    <w:rsid w:val="00235EE3"/>
    <w:rsid w:val="0023658F"/>
    <w:rsid w:val="0023661F"/>
    <w:rsid w:val="00236B4A"/>
    <w:rsid w:val="002373B3"/>
    <w:rsid w:val="00237933"/>
    <w:rsid w:val="002401CE"/>
    <w:rsid w:val="002407C2"/>
    <w:rsid w:val="0024132F"/>
    <w:rsid w:val="00242255"/>
    <w:rsid w:val="00243237"/>
    <w:rsid w:val="00243914"/>
    <w:rsid w:val="00243F53"/>
    <w:rsid w:val="00244742"/>
    <w:rsid w:val="00244793"/>
    <w:rsid w:val="002455E8"/>
    <w:rsid w:val="0024741E"/>
    <w:rsid w:val="002512D2"/>
    <w:rsid w:val="00252C8F"/>
    <w:rsid w:val="002530DB"/>
    <w:rsid w:val="0025346E"/>
    <w:rsid w:val="002537F4"/>
    <w:rsid w:val="00253939"/>
    <w:rsid w:val="00254C4E"/>
    <w:rsid w:val="00254CE1"/>
    <w:rsid w:val="00254EEA"/>
    <w:rsid w:val="0025505A"/>
    <w:rsid w:val="002571FA"/>
    <w:rsid w:val="00257789"/>
    <w:rsid w:val="00257C60"/>
    <w:rsid w:val="00260017"/>
    <w:rsid w:val="00260830"/>
    <w:rsid w:val="00260C7B"/>
    <w:rsid w:val="00260DF6"/>
    <w:rsid w:val="0026385A"/>
    <w:rsid w:val="0026662F"/>
    <w:rsid w:val="00266BF4"/>
    <w:rsid w:val="00267216"/>
    <w:rsid w:val="00267FBF"/>
    <w:rsid w:val="00270307"/>
    <w:rsid w:val="002718E3"/>
    <w:rsid w:val="00271906"/>
    <w:rsid w:val="00271CEF"/>
    <w:rsid w:val="00272286"/>
    <w:rsid w:val="0027234C"/>
    <w:rsid w:val="0027255B"/>
    <w:rsid w:val="00272C5B"/>
    <w:rsid w:val="00273B2F"/>
    <w:rsid w:val="00273D58"/>
    <w:rsid w:val="00274348"/>
    <w:rsid w:val="00274C24"/>
    <w:rsid w:val="0027678C"/>
    <w:rsid w:val="002768A3"/>
    <w:rsid w:val="002773DC"/>
    <w:rsid w:val="002777A3"/>
    <w:rsid w:val="0028076C"/>
    <w:rsid w:val="002817CC"/>
    <w:rsid w:val="002849E5"/>
    <w:rsid w:val="00285694"/>
    <w:rsid w:val="00285CF8"/>
    <w:rsid w:val="002870C9"/>
    <w:rsid w:val="00287889"/>
    <w:rsid w:val="00291EF2"/>
    <w:rsid w:val="002946A7"/>
    <w:rsid w:val="00295079"/>
    <w:rsid w:val="00296154"/>
    <w:rsid w:val="00296942"/>
    <w:rsid w:val="002A05C4"/>
    <w:rsid w:val="002A0D20"/>
    <w:rsid w:val="002A1F14"/>
    <w:rsid w:val="002A2474"/>
    <w:rsid w:val="002A3432"/>
    <w:rsid w:val="002A3C13"/>
    <w:rsid w:val="002A3EC9"/>
    <w:rsid w:val="002A4156"/>
    <w:rsid w:val="002A4172"/>
    <w:rsid w:val="002A48C4"/>
    <w:rsid w:val="002A733F"/>
    <w:rsid w:val="002B0907"/>
    <w:rsid w:val="002B1A7B"/>
    <w:rsid w:val="002B4105"/>
    <w:rsid w:val="002B472E"/>
    <w:rsid w:val="002B4992"/>
    <w:rsid w:val="002C0721"/>
    <w:rsid w:val="002C138F"/>
    <w:rsid w:val="002C2FC6"/>
    <w:rsid w:val="002C3120"/>
    <w:rsid w:val="002C4245"/>
    <w:rsid w:val="002C4C42"/>
    <w:rsid w:val="002C6663"/>
    <w:rsid w:val="002D03C0"/>
    <w:rsid w:val="002D30F2"/>
    <w:rsid w:val="002D3D7C"/>
    <w:rsid w:val="002D41F2"/>
    <w:rsid w:val="002E0A37"/>
    <w:rsid w:val="002E186A"/>
    <w:rsid w:val="002E3FDF"/>
    <w:rsid w:val="002E471F"/>
    <w:rsid w:val="002E5225"/>
    <w:rsid w:val="002F0D83"/>
    <w:rsid w:val="002F132B"/>
    <w:rsid w:val="002F1449"/>
    <w:rsid w:val="002F1CCA"/>
    <w:rsid w:val="002F22A9"/>
    <w:rsid w:val="002F22C5"/>
    <w:rsid w:val="002F26D3"/>
    <w:rsid w:val="002F3A20"/>
    <w:rsid w:val="002F4429"/>
    <w:rsid w:val="002F6E74"/>
    <w:rsid w:val="00302869"/>
    <w:rsid w:val="003036F8"/>
    <w:rsid w:val="0030427F"/>
    <w:rsid w:val="00305171"/>
    <w:rsid w:val="00305DDE"/>
    <w:rsid w:val="00306F0F"/>
    <w:rsid w:val="00311C0D"/>
    <w:rsid w:val="00313CD3"/>
    <w:rsid w:val="00314CA9"/>
    <w:rsid w:val="003159A5"/>
    <w:rsid w:val="00315A18"/>
    <w:rsid w:val="00317B02"/>
    <w:rsid w:val="00317CE4"/>
    <w:rsid w:val="00320BA0"/>
    <w:rsid w:val="00322FBC"/>
    <w:rsid w:val="00324248"/>
    <w:rsid w:val="00324890"/>
    <w:rsid w:val="003305EB"/>
    <w:rsid w:val="003310C7"/>
    <w:rsid w:val="00331829"/>
    <w:rsid w:val="003342A8"/>
    <w:rsid w:val="003365F0"/>
    <w:rsid w:val="003368DD"/>
    <w:rsid w:val="00340305"/>
    <w:rsid w:val="00340335"/>
    <w:rsid w:val="003436AB"/>
    <w:rsid w:val="00343CFF"/>
    <w:rsid w:val="00344E80"/>
    <w:rsid w:val="003460D3"/>
    <w:rsid w:val="00346491"/>
    <w:rsid w:val="00350CA1"/>
    <w:rsid w:val="00351230"/>
    <w:rsid w:val="003513D8"/>
    <w:rsid w:val="003518E6"/>
    <w:rsid w:val="003538AC"/>
    <w:rsid w:val="003546F3"/>
    <w:rsid w:val="00356149"/>
    <w:rsid w:val="00356E6F"/>
    <w:rsid w:val="00357467"/>
    <w:rsid w:val="00357555"/>
    <w:rsid w:val="00360082"/>
    <w:rsid w:val="003626C5"/>
    <w:rsid w:val="00362C7D"/>
    <w:rsid w:val="00365433"/>
    <w:rsid w:val="00365B58"/>
    <w:rsid w:val="00366847"/>
    <w:rsid w:val="00366BFC"/>
    <w:rsid w:val="00367CCE"/>
    <w:rsid w:val="00367E95"/>
    <w:rsid w:val="0037050B"/>
    <w:rsid w:val="003714C6"/>
    <w:rsid w:val="00371E1C"/>
    <w:rsid w:val="00372A0E"/>
    <w:rsid w:val="003739F9"/>
    <w:rsid w:val="00374D27"/>
    <w:rsid w:val="00375211"/>
    <w:rsid w:val="0037701B"/>
    <w:rsid w:val="00377050"/>
    <w:rsid w:val="00377971"/>
    <w:rsid w:val="00377B94"/>
    <w:rsid w:val="00377BAC"/>
    <w:rsid w:val="0038071A"/>
    <w:rsid w:val="00380CD0"/>
    <w:rsid w:val="00380DED"/>
    <w:rsid w:val="003823BB"/>
    <w:rsid w:val="00383326"/>
    <w:rsid w:val="00383740"/>
    <w:rsid w:val="0038406A"/>
    <w:rsid w:val="003848A7"/>
    <w:rsid w:val="003859AA"/>
    <w:rsid w:val="00385CD1"/>
    <w:rsid w:val="00386BA8"/>
    <w:rsid w:val="00386CFB"/>
    <w:rsid w:val="00387A18"/>
    <w:rsid w:val="00387FC2"/>
    <w:rsid w:val="00390032"/>
    <w:rsid w:val="003901D2"/>
    <w:rsid w:val="0039052C"/>
    <w:rsid w:val="0039073A"/>
    <w:rsid w:val="003911C2"/>
    <w:rsid w:val="00391363"/>
    <w:rsid w:val="0039466D"/>
    <w:rsid w:val="0039584C"/>
    <w:rsid w:val="0039653A"/>
    <w:rsid w:val="00397221"/>
    <w:rsid w:val="003A0DD5"/>
    <w:rsid w:val="003A2660"/>
    <w:rsid w:val="003A3CCD"/>
    <w:rsid w:val="003A4728"/>
    <w:rsid w:val="003A509E"/>
    <w:rsid w:val="003A6808"/>
    <w:rsid w:val="003A79A3"/>
    <w:rsid w:val="003B17FC"/>
    <w:rsid w:val="003B1E2B"/>
    <w:rsid w:val="003B43FE"/>
    <w:rsid w:val="003B7E87"/>
    <w:rsid w:val="003B7FD0"/>
    <w:rsid w:val="003C10E9"/>
    <w:rsid w:val="003C13C1"/>
    <w:rsid w:val="003C3978"/>
    <w:rsid w:val="003C41F0"/>
    <w:rsid w:val="003C4D50"/>
    <w:rsid w:val="003C753F"/>
    <w:rsid w:val="003D173F"/>
    <w:rsid w:val="003D18F6"/>
    <w:rsid w:val="003D35D5"/>
    <w:rsid w:val="003D38AC"/>
    <w:rsid w:val="003D3C8E"/>
    <w:rsid w:val="003D4848"/>
    <w:rsid w:val="003D4B32"/>
    <w:rsid w:val="003D4BC5"/>
    <w:rsid w:val="003D4D74"/>
    <w:rsid w:val="003D5C67"/>
    <w:rsid w:val="003E1CA4"/>
    <w:rsid w:val="003E21E0"/>
    <w:rsid w:val="003E2981"/>
    <w:rsid w:val="003E3715"/>
    <w:rsid w:val="003E4E01"/>
    <w:rsid w:val="003E53AC"/>
    <w:rsid w:val="003E6FC2"/>
    <w:rsid w:val="003E7A3B"/>
    <w:rsid w:val="003E7CB7"/>
    <w:rsid w:val="003E7FB2"/>
    <w:rsid w:val="003F000A"/>
    <w:rsid w:val="003F1E0E"/>
    <w:rsid w:val="003F428A"/>
    <w:rsid w:val="003F4E11"/>
    <w:rsid w:val="003F7301"/>
    <w:rsid w:val="003F7AE4"/>
    <w:rsid w:val="0040085A"/>
    <w:rsid w:val="004017A2"/>
    <w:rsid w:val="00402516"/>
    <w:rsid w:val="00404C10"/>
    <w:rsid w:val="00406A5C"/>
    <w:rsid w:val="00406D33"/>
    <w:rsid w:val="00407107"/>
    <w:rsid w:val="0040739C"/>
    <w:rsid w:val="00410257"/>
    <w:rsid w:val="00411F49"/>
    <w:rsid w:val="00412402"/>
    <w:rsid w:val="00412BD4"/>
    <w:rsid w:val="00412FD3"/>
    <w:rsid w:val="00413059"/>
    <w:rsid w:val="004136AD"/>
    <w:rsid w:val="00416A34"/>
    <w:rsid w:val="00416BFA"/>
    <w:rsid w:val="004201D3"/>
    <w:rsid w:val="00420402"/>
    <w:rsid w:val="00421046"/>
    <w:rsid w:val="00421550"/>
    <w:rsid w:val="00422134"/>
    <w:rsid w:val="004228A9"/>
    <w:rsid w:val="00424718"/>
    <w:rsid w:val="00424EEE"/>
    <w:rsid w:val="004254DB"/>
    <w:rsid w:val="0042734D"/>
    <w:rsid w:val="0043014C"/>
    <w:rsid w:val="004301C2"/>
    <w:rsid w:val="004319AE"/>
    <w:rsid w:val="00433871"/>
    <w:rsid w:val="004348B2"/>
    <w:rsid w:val="00434F31"/>
    <w:rsid w:val="00436A96"/>
    <w:rsid w:val="00436A99"/>
    <w:rsid w:val="0043702F"/>
    <w:rsid w:val="004401B7"/>
    <w:rsid w:val="0044025D"/>
    <w:rsid w:val="00440F44"/>
    <w:rsid w:val="00441D7D"/>
    <w:rsid w:val="00443DF8"/>
    <w:rsid w:val="00444725"/>
    <w:rsid w:val="00445869"/>
    <w:rsid w:val="004458BE"/>
    <w:rsid w:val="00447C15"/>
    <w:rsid w:val="004503C2"/>
    <w:rsid w:val="00451961"/>
    <w:rsid w:val="00452496"/>
    <w:rsid w:val="00452AD7"/>
    <w:rsid w:val="00453522"/>
    <w:rsid w:val="00457DD9"/>
    <w:rsid w:val="0046162F"/>
    <w:rsid w:val="00461A30"/>
    <w:rsid w:val="00461FF0"/>
    <w:rsid w:val="00463CA6"/>
    <w:rsid w:val="00464674"/>
    <w:rsid w:val="0046467F"/>
    <w:rsid w:val="0046563F"/>
    <w:rsid w:val="00466721"/>
    <w:rsid w:val="00466978"/>
    <w:rsid w:val="004729E2"/>
    <w:rsid w:val="00472A4D"/>
    <w:rsid w:val="004737A9"/>
    <w:rsid w:val="00476D49"/>
    <w:rsid w:val="00481AEA"/>
    <w:rsid w:val="00482A81"/>
    <w:rsid w:val="00482C22"/>
    <w:rsid w:val="00482D03"/>
    <w:rsid w:val="00483930"/>
    <w:rsid w:val="00485431"/>
    <w:rsid w:val="00486012"/>
    <w:rsid w:val="004875F0"/>
    <w:rsid w:val="004904D4"/>
    <w:rsid w:val="00491F74"/>
    <w:rsid w:val="00494CA6"/>
    <w:rsid w:val="00494F3B"/>
    <w:rsid w:val="0049538B"/>
    <w:rsid w:val="00495C65"/>
    <w:rsid w:val="00495E1D"/>
    <w:rsid w:val="00496E39"/>
    <w:rsid w:val="0049711C"/>
    <w:rsid w:val="00497B7C"/>
    <w:rsid w:val="004A3264"/>
    <w:rsid w:val="004A3BEA"/>
    <w:rsid w:val="004A557B"/>
    <w:rsid w:val="004A59C8"/>
    <w:rsid w:val="004A5C9C"/>
    <w:rsid w:val="004A5C9E"/>
    <w:rsid w:val="004A66EE"/>
    <w:rsid w:val="004B0273"/>
    <w:rsid w:val="004B0BC1"/>
    <w:rsid w:val="004B1827"/>
    <w:rsid w:val="004B3DB8"/>
    <w:rsid w:val="004B6CC3"/>
    <w:rsid w:val="004B7BE9"/>
    <w:rsid w:val="004C020C"/>
    <w:rsid w:val="004C0876"/>
    <w:rsid w:val="004C1315"/>
    <w:rsid w:val="004C153C"/>
    <w:rsid w:val="004C1B78"/>
    <w:rsid w:val="004C3EEF"/>
    <w:rsid w:val="004C49B8"/>
    <w:rsid w:val="004C516E"/>
    <w:rsid w:val="004C56FB"/>
    <w:rsid w:val="004C5719"/>
    <w:rsid w:val="004C5B28"/>
    <w:rsid w:val="004D009A"/>
    <w:rsid w:val="004D01F5"/>
    <w:rsid w:val="004D0820"/>
    <w:rsid w:val="004D29E9"/>
    <w:rsid w:val="004D3062"/>
    <w:rsid w:val="004D3E7D"/>
    <w:rsid w:val="004D4B26"/>
    <w:rsid w:val="004D641A"/>
    <w:rsid w:val="004D687F"/>
    <w:rsid w:val="004D79BE"/>
    <w:rsid w:val="004D7A35"/>
    <w:rsid w:val="004E004E"/>
    <w:rsid w:val="004E20E2"/>
    <w:rsid w:val="004E3408"/>
    <w:rsid w:val="004E455A"/>
    <w:rsid w:val="004E4707"/>
    <w:rsid w:val="004E53FF"/>
    <w:rsid w:val="004E5589"/>
    <w:rsid w:val="004E5CFF"/>
    <w:rsid w:val="004E6F57"/>
    <w:rsid w:val="004E72BF"/>
    <w:rsid w:val="004E7704"/>
    <w:rsid w:val="004E7C23"/>
    <w:rsid w:val="004F0B8D"/>
    <w:rsid w:val="004F174C"/>
    <w:rsid w:val="004F17E7"/>
    <w:rsid w:val="004F32ED"/>
    <w:rsid w:val="004F4C1F"/>
    <w:rsid w:val="004F5727"/>
    <w:rsid w:val="005009E3"/>
    <w:rsid w:val="005014B5"/>
    <w:rsid w:val="0050220A"/>
    <w:rsid w:val="00502C71"/>
    <w:rsid w:val="00502DFB"/>
    <w:rsid w:val="00504435"/>
    <w:rsid w:val="00504D29"/>
    <w:rsid w:val="00504FFA"/>
    <w:rsid w:val="00505F49"/>
    <w:rsid w:val="005069F7"/>
    <w:rsid w:val="005077EF"/>
    <w:rsid w:val="00510897"/>
    <w:rsid w:val="0051292D"/>
    <w:rsid w:val="00512BA2"/>
    <w:rsid w:val="00512C19"/>
    <w:rsid w:val="00512DB3"/>
    <w:rsid w:val="005146D8"/>
    <w:rsid w:val="00515099"/>
    <w:rsid w:val="005152D8"/>
    <w:rsid w:val="005161D5"/>
    <w:rsid w:val="00517844"/>
    <w:rsid w:val="0052213D"/>
    <w:rsid w:val="00522856"/>
    <w:rsid w:val="00523989"/>
    <w:rsid w:val="00523E5B"/>
    <w:rsid w:val="0052464A"/>
    <w:rsid w:val="00525303"/>
    <w:rsid w:val="00527E0E"/>
    <w:rsid w:val="00531CF4"/>
    <w:rsid w:val="00533F79"/>
    <w:rsid w:val="00533FE6"/>
    <w:rsid w:val="005347F8"/>
    <w:rsid w:val="0053506C"/>
    <w:rsid w:val="005357B3"/>
    <w:rsid w:val="00536E05"/>
    <w:rsid w:val="005372C0"/>
    <w:rsid w:val="005407BD"/>
    <w:rsid w:val="00542712"/>
    <w:rsid w:val="00542728"/>
    <w:rsid w:val="0054273F"/>
    <w:rsid w:val="00542D00"/>
    <w:rsid w:val="00542F3E"/>
    <w:rsid w:val="005435C2"/>
    <w:rsid w:val="005439C2"/>
    <w:rsid w:val="0054420D"/>
    <w:rsid w:val="00544B61"/>
    <w:rsid w:val="005454AC"/>
    <w:rsid w:val="005462EF"/>
    <w:rsid w:val="005467D2"/>
    <w:rsid w:val="00546837"/>
    <w:rsid w:val="005505B2"/>
    <w:rsid w:val="00550F28"/>
    <w:rsid w:val="00550F9C"/>
    <w:rsid w:val="00551B89"/>
    <w:rsid w:val="005521D7"/>
    <w:rsid w:val="005536AA"/>
    <w:rsid w:val="00554F49"/>
    <w:rsid w:val="005557AF"/>
    <w:rsid w:val="00555935"/>
    <w:rsid w:val="005565F6"/>
    <w:rsid w:val="00556F1B"/>
    <w:rsid w:val="00560789"/>
    <w:rsid w:val="00560B50"/>
    <w:rsid w:val="00560E6F"/>
    <w:rsid w:val="0056294E"/>
    <w:rsid w:val="0056301A"/>
    <w:rsid w:val="00565AD7"/>
    <w:rsid w:val="005669F0"/>
    <w:rsid w:val="00566DE7"/>
    <w:rsid w:val="00567A6A"/>
    <w:rsid w:val="0057130D"/>
    <w:rsid w:val="00572EAD"/>
    <w:rsid w:val="0058133E"/>
    <w:rsid w:val="00581628"/>
    <w:rsid w:val="00581A15"/>
    <w:rsid w:val="00581E87"/>
    <w:rsid w:val="00583FE8"/>
    <w:rsid w:val="0058419C"/>
    <w:rsid w:val="00587EE4"/>
    <w:rsid w:val="00590645"/>
    <w:rsid w:val="0059150B"/>
    <w:rsid w:val="005933C5"/>
    <w:rsid w:val="00593429"/>
    <w:rsid w:val="00593FD0"/>
    <w:rsid w:val="005955B9"/>
    <w:rsid w:val="00597019"/>
    <w:rsid w:val="00597071"/>
    <w:rsid w:val="005A0521"/>
    <w:rsid w:val="005A085B"/>
    <w:rsid w:val="005A1CC2"/>
    <w:rsid w:val="005A1F8E"/>
    <w:rsid w:val="005A2560"/>
    <w:rsid w:val="005A364B"/>
    <w:rsid w:val="005A6711"/>
    <w:rsid w:val="005A712F"/>
    <w:rsid w:val="005A7447"/>
    <w:rsid w:val="005A7DDD"/>
    <w:rsid w:val="005B0EC2"/>
    <w:rsid w:val="005B1E85"/>
    <w:rsid w:val="005B2674"/>
    <w:rsid w:val="005B2699"/>
    <w:rsid w:val="005B3422"/>
    <w:rsid w:val="005B7500"/>
    <w:rsid w:val="005B7E02"/>
    <w:rsid w:val="005B7F5F"/>
    <w:rsid w:val="005C05EA"/>
    <w:rsid w:val="005C1057"/>
    <w:rsid w:val="005C13AD"/>
    <w:rsid w:val="005C1668"/>
    <w:rsid w:val="005C3F28"/>
    <w:rsid w:val="005C490F"/>
    <w:rsid w:val="005C4CA7"/>
    <w:rsid w:val="005C4E40"/>
    <w:rsid w:val="005C589A"/>
    <w:rsid w:val="005C6C27"/>
    <w:rsid w:val="005C7111"/>
    <w:rsid w:val="005C76B0"/>
    <w:rsid w:val="005D01C4"/>
    <w:rsid w:val="005D0ECA"/>
    <w:rsid w:val="005D0FEC"/>
    <w:rsid w:val="005D15CE"/>
    <w:rsid w:val="005D2742"/>
    <w:rsid w:val="005D4347"/>
    <w:rsid w:val="005D4B44"/>
    <w:rsid w:val="005D50EA"/>
    <w:rsid w:val="005D6A09"/>
    <w:rsid w:val="005E0E63"/>
    <w:rsid w:val="005E17B2"/>
    <w:rsid w:val="005E1A65"/>
    <w:rsid w:val="005F00E1"/>
    <w:rsid w:val="005F03CF"/>
    <w:rsid w:val="005F16E6"/>
    <w:rsid w:val="005F18C4"/>
    <w:rsid w:val="005F2980"/>
    <w:rsid w:val="005F2E23"/>
    <w:rsid w:val="005F2FB5"/>
    <w:rsid w:val="005F40E2"/>
    <w:rsid w:val="005F4DE6"/>
    <w:rsid w:val="005F57BB"/>
    <w:rsid w:val="005F623E"/>
    <w:rsid w:val="005F755C"/>
    <w:rsid w:val="00600324"/>
    <w:rsid w:val="0060092C"/>
    <w:rsid w:val="00600A92"/>
    <w:rsid w:val="00600EE9"/>
    <w:rsid w:val="00602417"/>
    <w:rsid w:val="0060264B"/>
    <w:rsid w:val="00605E14"/>
    <w:rsid w:val="006072E3"/>
    <w:rsid w:val="006106FD"/>
    <w:rsid w:val="00612810"/>
    <w:rsid w:val="0061297F"/>
    <w:rsid w:val="00613A58"/>
    <w:rsid w:val="00613A96"/>
    <w:rsid w:val="00613C96"/>
    <w:rsid w:val="00613DE7"/>
    <w:rsid w:val="00614A7D"/>
    <w:rsid w:val="00617264"/>
    <w:rsid w:val="00617BBD"/>
    <w:rsid w:val="0062299F"/>
    <w:rsid w:val="00622ABC"/>
    <w:rsid w:val="00623F83"/>
    <w:rsid w:val="00623FAC"/>
    <w:rsid w:val="006248B1"/>
    <w:rsid w:val="00625170"/>
    <w:rsid w:val="006260D2"/>
    <w:rsid w:val="00626880"/>
    <w:rsid w:val="00626CA7"/>
    <w:rsid w:val="006274D2"/>
    <w:rsid w:val="006320A8"/>
    <w:rsid w:val="006324AC"/>
    <w:rsid w:val="006325C4"/>
    <w:rsid w:val="00634CD8"/>
    <w:rsid w:val="00634FAC"/>
    <w:rsid w:val="0063637B"/>
    <w:rsid w:val="006363CA"/>
    <w:rsid w:val="00637746"/>
    <w:rsid w:val="00637D8B"/>
    <w:rsid w:val="00637FB7"/>
    <w:rsid w:val="00640272"/>
    <w:rsid w:val="00640CE2"/>
    <w:rsid w:val="00642D63"/>
    <w:rsid w:val="006432C1"/>
    <w:rsid w:val="00643717"/>
    <w:rsid w:val="00643D3C"/>
    <w:rsid w:val="00647617"/>
    <w:rsid w:val="00647673"/>
    <w:rsid w:val="006509C5"/>
    <w:rsid w:val="006519FB"/>
    <w:rsid w:val="006522A7"/>
    <w:rsid w:val="00652F75"/>
    <w:rsid w:val="00653484"/>
    <w:rsid w:val="00653AC0"/>
    <w:rsid w:val="00655560"/>
    <w:rsid w:val="006556EA"/>
    <w:rsid w:val="006567F5"/>
    <w:rsid w:val="00657AEB"/>
    <w:rsid w:val="00657D01"/>
    <w:rsid w:val="006601EF"/>
    <w:rsid w:val="00660413"/>
    <w:rsid w:val="00660949"/>
    <w:rsid w:val="00661161"/>
    <w:rsid w:val="00664503"/>
    <w:rsid w:val="00664A95"/>
    <w:rsid w:val="00667BEB"/>
    <w:rsid w:val="00671112"/>
    <w:rsid w:val="0067143B"/>
    <w:rsid w:val="00672017"/>
    <w:rsid w:val="00673459"/>
    <w:rsid w:val="006758F1"/>
    <w:rsid w:val="006761C1"/>
    <w:rsid w:val="00677C9F"/>
    <w:rsid w:val="00681580"/>
    <w:rsid w:val="00681770"/>
    <w:rsid w:val="00683B2A"/>
    <w:rsid w:val="00684610"/>
    <w:rsid w:val="0068475B"/>
    <w:rsid w:val="00684919"/>
    <w:rsid w:val="006855A1"/>
    <w:rsid w:val="00690360"/>
    <w:rsid w:val="006908A7"/>
    <w:rsid w:val="00690C36"/>
    <w:rsid w:val="0069253B"/>
    <w:rsid w:val="00692A4A"/>
    <w:rsid w:val="00693E2B"/>
    <w:rsid w:val="006950B1"/>
    <w:rsid w:val="00696E77"/>
    <w:rsid w:val="00696ED9"/>
    <w:rsid w:val="00696FA7"/>
    <w:rsid w:val="006A1233"/>
    <w:rsid w:val="006A158E"/>
    <w:rsid w:val="006A46AA"/>
    <w:rsid w:val="006A528E"/>
    <w:rsid w:val="006A5AFD"/>
    <w:rsid w:val="006A6408"/>
    <w:rsid w:val="006A76AB"/>
    <w:rsid w:val="006A7D95"/>
    <w:rsid w:val="006B06E2"/>
    <w:rsid w:val="006B2EE3"/>
    <w:rsid w:val="006B35A9"/>
    <w:rsid w:val="006B45E5"/>
    <w:rsid w:val="006B5445"/>
    <w:rsid w:val="006B5543"/>
    <w:rsid w:val="006B5903"/>
    <w:rsid w:val="006B6FC3"/>
    <w:rsid w:val="006C0AD6"/>
    <w:rsid w:val="006C3088"/>
    <w:rsid w:val="006C40CB"/>
    <w:rsid w:val="006C5907"/>
    <w:rsid w:val="006C6403"/>
    <w:rsid w:val="006C7015"/>
    <w:rsid w:val="006C73BA"/>
    <w:rsid w:val="006C7FB1"/>
    <w:rsid w:val="006D035B"/>
    <w:rsid w:val="006D1E2A"/>
    <w:rsid w:val="006D21AB"/>
    <w:rsid w:val="006D2A02"/>
    <w:rsid w:val="006D2AAA"/>
    <w:rsid w:val="006D3701"/>
    <w:rsid w:val="006E1CF6"/>
    <w:rsid w:val="006E39F8"/>
    <w:rsid w:val="006E5D4C"/>
    <w:rsid w:val="006E5F6F"/>
    <w:rsid w:val="006E6064"/>
    <w:rsid w:val="006E6BB3"/>
    <w:rsid w:val="006E6EF9"/>
    <w:rsid w:val="006E7C97"/>
    <w:rsid w:val="006F02DC"/>
    <w:rsid w:val="006F0A4F"/>
    <w:rsid w:val="006F0A8A"/>
    <w:rsid w:val="006F19CD"/>
    <w:rsid w:val="006F39BE"/>
    <w:rsid w:val="006F3AB6"/>
    <w:rsid w:val="006F3F5C"/>
    <w:rsid w:val="006F4ACC"/>
    <w:rsid w:val="006F5B2B"/>
    <w:rsid w:val="006F5D7A"/>
    <w:rsid w:val="006F6524"/>
    <w:rsid w:val="00700E9D"/>
    <w:rsid w:val="00701991"/>
    <w:rsid w:val="00704E4F"/>
    <w:rsid w:val="00705852"/>
    <w:rsid w:val="00706A2E"/>
    <w:rsid w:val="00714822"/>
    <w:rsid w:val="00715E4C"/>
    <w:rsid w:val="00715EC0"/>
    <w:rsid w:val="00716231"/>
    <w:rsid w:val="007172C6"/>
    <w:rsid w:val="0072175A"/>
    <w:rsid w:val="0072206A"/>
    <w:rsid w:val="007229E2"/>
    <w:rsid w:val="0072324F"/>
    <w:rsid w:val="00726103"/>
    <w:rsid w:val="0073092C"/>
    <w:rsid w:val="00730F5D"/>
    <w:rsid w:val="00731188"/>
    <w:rsid w:val="0073181A"/>
    <w:rsid w:val="007322F1"/>
    <w:rsid w:val="00734E99"/>
    <w:rsid w:val="007365C3"/>
    <w:rsid w:val="0073747B"/>
    <w:rsid w:val="007376FC"/>
    <w:rsid w:val="00737AD0"/>
    <w:rsid w:val="00740201"/>
    <w:rsid w:val="00740CBE"/>
    <w:rsid w:val="007415E9"/>
    <w:rsid w:val="00742320"/>
    <w:rsid w:val="007423B8"/>
    <w:rsid w:val="00744B3E"/>
    <w:rsid w:val="00744C2E"/>
    <w:rsid w:val="00745DB4"/>
    <w:rsid w:val="00745FA6"/>
    <w:rsid w:val="0074779F"/>
    <w:rsid w:val="00747832"/>
    <w:rsid w:val="007501DE"/>
    <w:rsid w:val="007504BF"/>
    <w:rsid w:val="00750A76"/>
    <w:rsid w:val="0075194B"/>
    <w:rsid w:val="00752617"/>
    <w:rsid w:val="007529BF"/>
    <w:rsid w:val="00754451"/>
    <w:rsid w:val="0075473C"/>
    <w:rsid w:val="00754755"/>
    <w:rsid w:val="00754BE6"/>
    <w:rsid w:val="00755221"/>
    <w:rsid w:val="0075527E"/>
    <w:rsid w:val="00755506"/>
    <w:rsid w:val="00757518"/>
    <w:rsid w:val="0076384C"/>
    <w:rsid w:val="007660BE"/>
    <w:rsid w:val="00767514"/>
    <w:rsid w:val="00767F71"/>
    <w:rsid w:val="0077118F"/>
    <w:rsid w:val="007739FB"/>
    <w:rsid w:val="00773C7A"/>
    <w:rsid w:val="00774B85"/>
    <w:rsid w:val="00774BFB"/>
    <w:rsid w:val="00776804"/>
    <w:rsid w:val="007776C3"/>
    <w:rsid w:val="00777BAB"/>
    <w:rsid w:val="00780324"/>
    <w:rsid w:val="00783038"/>
    <w:rsid w:val="00783B17"/>
    <w:rsid w:val="007844E0"/>
    <w:rsid w:val="007901F3"/>
    <w:rsid w:val="007904B8"/>
    <w:rsid w:val="007906FB"/>
    <w:rsid w:val="00794629"/>
    <w:rsid w:val="00795286"/>
    <w:rsid w:val="00795CDF"/>
    <w:rsid w:val="0079611C"/>
    <w:rsid w:val="007967D2"/>
    <w:rsid w:val="00796F67"/>
    <w:rsid w:val="007A1798"/>
    <w:rsid w:val="007A240E"/>
    <w:rsid w:val="007A2FC4"/>
    <w:rsid w:val="007A30D0"/>
    <w:rsid w:val="007A419D"/>
    <w:rsid w:val="007A5997"/>
    <w:rsid w:val="007A5ABF"/>
    <w:rsid w:val="007A5B31"/>
    <w:rsid w:val="007A65C6"/>
    <w:rsid w:val="007A7625"/>
    <w:rsid w:val="007B0BDC"/>
    <w:rsid w:val="007B3457"/>
    <w:rsid w:val="007B3E34"/>
    <w:rsid w:val="007B42E6"/>
    <w:rsid w:val="007C03B9"/>
    <w:rsid w:val="007C0928"/>
    <w:rsid w:val="007C1131"/>
    <w:rsid w:val="007C2708"/>
    <w:rsid w:val="007C2771"/>
    <w:rsid w:val="007C283C"/>
    <w:rsid w:val="007C2CE5"/>
    <w:rsid w:val="007C52C2"/>
    <w:rsid w:val="007C5696"/>
    <w:rsid w:val="007C5C00"/>
    <w:rsid w:val="007C66C7"/>
    <w:rsid w:val="007D0C74"/>
    <w:rsid w:val="007D2041"/>
    <w:rsid w:val="007D2399"/>
    <w:rsid w:val="007D266D"/>
    <w:rsid w:val="007D2732"/>
    <w:rsid w:val="007D3EE3"/>
    <w:rsid w:val="007D5764"/>
    <w:rsid w:val="007D5A5D"/>
    <w:rsid w:val="007D62C0"/>
    <w:rsid w:val="007D67C6"/>
    <w:rsid w:val="007D728B"/>
    <w:rsid w:val="007E02CD"/>
    <w:rsid w:val="007E096F"/>
    <w:rsid w:val="007E137E"/>
    <w:rsid w:val="007E1513"/>
    <w:rsid w:val="007E1591"/>
    <w:rsid w:val="007E193E"/>
    <w:rsid w:val="007E1EB0"/>
    <w:rsid w:val="007E2F62"/>
    <w:rsid w:val="007E3C54"/>
    <w:rsid w:val="007E55C9"/>
    <w:rsid w:val="007E67DE"/>
    <w:rsid w:val="007E76D8"/>
    <w:rsid w:val="007E7A6F"/>
    <w:rsid w:val="007F103B"/>
    <w:rsid w:val="007F11E1"/>
    <w:rsid w:val="007F1E14"/>
    <w:rsid w:val="007F2106"/>
    <w:rsid w:val="007F24F6"/>
    <w:rsid w:val="007F5EBF"/>
    <w:rsid w:val="007F6180"/>
    <w:rsid w:val="007F6926"/>
    <w:rsid w:val="007F6AFB"/>
    <w:rsid w:val="008027A4"/>
    <w:rsid w:val="00802C10"/>
    <w:rsid w:val="008039B1"/>
    <w:rsid w:val="00803A27"/>
    <w:rsid w:val="00805031"/>
    <w:rsid w:val="008055E9"/>
    <w:rsid w:val="00805CC1"/>
    <w:rsid w:val="0080634C"/>
    <w:rsid w:val="0080646E"/>
    <w:rsid w:val="0080651A"/>
    <w:rsid w:val="00806678"/>
    <w:rsid w:val="008107A9"/>
    <w:rsid w:val="00810891"/>
    <w:rsid w:val="0081112C"/>
    <w:rsid w:val="008130C0"/>
    <w:rsid w:val="008130DB"/>
    <w:rsid w:val="00814AE5"/>
    <w:rsid w:val="00814EFA"/>
    <w:rsid w:val="00815123"/>
    <w:rsid w:val="008158BD"/>
    <w:rsid w:val="00815F93"/>
    <w:rsid w:val="00820937"/>
    <w:rsid w:val="008210A7"/>
    <w:rsid w:val="008219B5"/>
    <w:rsid w:val="00824077"/>
    <w:rsid w:val="008245C6"/>
    <w:rsid w:val="008250A0"/>
    <w:rsid w:val="00825782"/>
    <w:rsid w:val="008257FE"/>
    <w:rsid w:val="008265F9"/>
    <w:rsid w:val="008266B7"/>
    <w:rsid w:val="00826B65"/>
    <w:rsid w:val="00827F8A"/>
    <w:rsid w:val="008304AE"/>
    <w:rsid w:val="00830A8B"/>
    <w:rsid w:val="00831BD4"/>
    <w:rsid w:val="00832A73"/>
    <w:rsid w:val="00836EBA"/>
    <w:rsid w:val="00837D8E"/>
    <w:rsid w:val="0084068F"/>
    <w:rsid w:val="0084221C"/>
    <w:rsid w:val="008436FF"/>
    <w:rsid w:val="00843B53"/>
    <w:rsid w:val="008442DF"/>
    <w:rsid w:val="00844398"/>
    <w:rsid w:val="0084494E"/>
    <w:rsid w:val="00845346"/>
    <w:rsid w:val="0084789B"/>
    <w:rsid w:val="00851D6F"/>
    <w:rsid w:val="0085294D"/>
    <w:rsid w:val="00852A93"/>
    <w:rsid w:val="00852BBC"/>
    <w:rsid w:val="00853F2F"/>
    <w:rsid w:val="00854AA7"/>
    <w:rsid w:val="00857637"/>
    <w:rsid w:val="00860262"/>
    <w:rsid w:val="008617D1"/>
    <w:rsid w:val="0086403F"/>
    <w:rsid w:val="00864D25"/>
    <w:rsid w:val="00865916"/>
    <w:rsid w:val="008663E5"/>
    <w:rsid w:val="00866C24"/>
    <w:rsid w:val="00867A47"/>
    <w:rsid w:val="00870605"/>
    <w:rsid w:val="00871573"/>
    <w:rsid w:val="00871624"/>
    <w:rsid w:val="00872B73"/>
    <w:rsid w:val="0087319F"/>
    <w:rsid w:val="00873368"/>
    <w:rsid w:val="00874617"/>
    <w:rsid w:val="0087467C"/>
    <w:rsid w:val="00876977"/>
    <w:rsid w:val="008769C7"/>
    <w:rsid w:val="008812F9"/>
    <w:rsid w:val="00881B76"/>
    <w:rsid w:val="00883DDD"/>
    <w:rsid w:val="0088416C"/>
    <w:rsid w:val="00884497"/>
    <w:rsid w:val="0088486C"/>
    <w:rsid w:val="008871BB"/>
    <w:rsid w:val="00887339"/>
    <w:rsid w:val="00887612"/>
    <w:rsid w:val="008902BC"/>
    <w:rsid w:val="00891EE7"/>
    <w:rsid w:val="00892092"/>
    <w:rsid w:val="00892A77"/>
    <w:rsid w:val="008931BB"/>
    <w:rsid w:val="00893E2A"/>
    <w:rsid w:val="00893EEF"/>
    <w:rsid w:val="00894332"/>
    <w:rsid w:val="00894575"/>
    <w:rsid w:val="008946F0"/>
    <w:rsid w:val="00894938"/>
    <w:rsid w:val="00894BD1"/>
    <w:rsid w:val="00897604"/>
    <w:rsid w:val="00897C9E"/>
    <w:rsid w:val="008A052D"/>
    <w:rsid w:val="008A0754"/>
    <w:rsid w:val="008A2AF0"/>
    <w:rsid w:val="008A3B71"/>
    <w:rsid w:val="008A4C3A"/>
    <w:rsid w:val="008A7913"/>
    <w:rsid w:val="008A7FAC"/>
    <w:rsid w:val="008B1F4F"/>
    <w:rsid w:val="008B3B3D"/>
    <w:rsid w:val="008B40AD"/>
    <w:rsid w:val="008B46F6"/>
    <w:rsid w:val="008B4870"/>
    <w:rsid w:val="008B4FA7"/>
    <w:rsid w:val="008B68A2"/>
    <w:rsid w:val="008B7265"/>
    <w:rsid w:val="008B7C45"/>
    <w:rsid w:val="008C129D"/>
    <w:rsid w:val="008C1A64"/>
    <w:rsid w:val="008C1C23"/>
    <w:rsid w:val="008C2503"/>
    <w:rsid w:val="008C4242"/>
    <w:rsid w:val="008C4A5C"/>
    <w:rsid w:val="008C4C4E"/>
    <w:rsid w:val="008C56BB"/>
    <w:rsid w:val="008C6981"/>
    <w:rsid w:val="008C7E79"/>
    <w:rsid w:val="008D0C82"/>
    <w:rsid w:val="008D295E"/>
    <w:rsid w:val="008D31E8"/>
    <w:rsid w:val="008D3D5F"/>
    <w:rsid w:val="008D4746"/>
    <w:rsid w:val="008D5259"/>
    <w:rsid w:val="008D68A7"/>
    <w:rsid w:val="008D6D26"/>
    <w:rsid w:val="008E2FDD"/>
    <w:rsid w:val="008E3D2A"/>
    <w:rsid w:val="008E4422"/>
    <w:rsid w:val="008E49B9"/>
    <w:rsid w:val="008E52A2"/>
    <w:rsid w:val="008F1251"/>
    <w:rsid w:val="008F3DE7"/>
    <w:rsid w:val="008F4115"/>
    <w:rsid w:val="008F44FA"/>
    <w:rsid w:val="008F4B53"/>
    <w:rsid w:val="008F4CED"/>
    <w:rsid w:val="008F5E73"/>
    <w:rsid w:val="008F5F91"/>
    <w:rsid w:val="008F61DC"/>
    <w:rsid w:val="008F63D3"/>
    <w:rsid w:val="008F6731"/>
    <w:rsid w:val="00900D3A"/>
    <w:rsid w:val="00903C13"/>
    <w:rsid w:val="00904F92"/>
    <w:rsid w:val="00906C5B"/>
    <w:rsid w:val="00906DAA"/>
    <w:rsid w:val="00907E30"/>
    <w:rsid w:val="009100C2"/>
    <w:rsid w:val="00910B6E"/>
    <w:rsid w:val="00911697"/>
    <w:rsid w:val="00913361"/>
    <w:rsid w:val="00913A44"/>
    <w:rsid w:val="00913D3C"/>
    <w:rsid w:val="009141B9"/>
    <w:rsid w:val="00914373"/>
    <w:rsid w:val="00914717"/>
    <w:rsid w:val="00915118"/>
    <w:rsid w:val="00915333"/>
    <w:rsid w:val="00915BE2"/>
    <w:rsid w:val="009201CD"/>
    <w:rsid w:val="009204A8"/>
    <w:rsid w:val="00920CD0"/>
    <w:rsid w:val="00922CAD"/>
    <w:rsid w:val="00923598"/>
    <w:rsid w:val="00923667"/>
    <w:rsid w:val="00923942"/>
    <w:rsid w:val="00925EEC"/>
    <w:rsid w:val="00927FD4"/>
    <w:rsid w:val="009327E6"/>
    <w:rsid w:val="00933CF5"/>
    <w:rsid w:val="0093557C"/>
    <w:rsid w:val="009364A4"/>
    <w:rsid w:val="009364EE"/>
    <w:rsid w:val="00937198"/>
    <w:rsid w:val="009404E4"/>
    <w:rsid w:val="00940707"/>
    <w:rsid w:val="0094312E"/>
    <w:rsid w:val="0094410F"/>
    <w:rsid w:val="009441C4"/>
    <w:rsid w:val="00944FE5"/>
    <w:rsid w:val="00945851"/>
    <w:rsid w:val="00945AF4"/>
    <w:rsid w:val="00946FC2"/>
    <w:rsid w:val="009470E0"/>
    <w:rsid w:val="00947584"/>
    <w:rsid w:val="009479D0"/>
    <w:rsid w:val="00950237"/>
    <w:rsid w:val="009507F7"/>
    <w:rsid w:val="00950894"/>
    <w:rsid w:val="00951AF7"/>
    <w:rsid w:val="0095241F"/>
    <w:rsid w:val="0095424E"/>
    <w:rsid w:val="0095511F"/>
    <w:rsid w:val="0095625A"/>
    <w:rsid w:val="00956435"/>
    <w:rsid w:val="00957F61"/>
    <w:rsid w:val="009603F0"/>
    <w:rsid w:val="00961292"/>
    <w:rsid w:val="00961570"/>
    <w:rsid w:val="009631A5"/>
    <w:rsid w:val="0096320D"/>
    <w:rsid w:val="0096386E"/>
    <w:rsid w:val="00964777"/>
    <w:rsid w:val="00964BE2"/>
    <w:rsid w:val="009651B0"/>
    <w:rsid w:val="009662E3"/>
    <w:rsid w:val="00966605"/>
    <w:rsid w:val="00967A62"/>
    <w:rsid w:val="00967B7D"/>
    <w:rsid w:val="00971A56"/>
    <w:rsid w:val="00972B98"/>
    <w:rsid w:val="00972C3B"/>
    <w:rsid w:val="00973B95"/>
    <w:rsid w:val="00976681"/>
    <w:rsid w:val="00982A2E"/>
    <w:rsid w:val="0098533F"/>
    <w:rsid w:val="009855C7"/>
    <w:rsid w:val="00985715"/>
    <w:rsid w:val="00985BE6"/>
    <w:rsid w:val="00986495"/>
    <w:rsid w:val="00986DA9"/>
    <w:rsid w:val="0098746C"/>
    <w:rsid w:val="0099062D"/>
    <w:rsid w:val="00990BD2"/>
    <w:rsid w:val="0099166F"/>
    <w:rsid w:val="009929A2"/>
    <w:rsid w:val="00992CB8"/>
    <w:rsid w:val="00994009"/>
    <w:rsid w:val="009959B8"/>
    <w:rsid w:val="00996202"/>
    <w:rsid w:val="0099655A"/>
    <w:rsid w:val="009970D1"/>
    <w:rsid w:val="009A1991"/>
    <w:rsid w:val="009A28D5"/>
    <w:rsid w:val="009A42EA"/>
    <w:rsid w:val="009A5574"/>
    <w:rsid w:val="009A7A44"/>
    <w:rsid w:val="009A7D39"/>
    <w:rsid w:val="009B151D"/>
    <w:rsid w:val="009B15AB"/>
    <w:rsid w:val="009B1FD3"/>
    <w:rsid w:val="009B25B2"/>
    <w:rsid w:val="009B306E"/>
    <w:rsid w:val="009B3350"/>
    <w:rsid w:val="009B4342"/>
    <w:rsid w:val="009B5767"/>
    <w:rsid w:val="009B6E7D"/>
    <w:rsid w:val="009B726B"/>
    <w:rsid w:val="009B72A7"/>
    <w:rsid w:val="009C1CBE"/>
    <w:rsid w:val="009C2EFA"/>
    <w:rsid w:val="009C3470"/>
    <w:rsid w:val="009C40CE"/>
    <w:rsid w:val="009C57AD"/>
    <w:rsid w:val="009C5946"/>
    <w:rsid w:val="009C6A32"/>
    <w:rsid w:val="009C77BF"/>
    <w:rsid w:val="009C7B85"/>
    <w:rsid w:val="009D080E"/>
    <w:rsid w:val="009D0A26"/>
    <w:rsid w:val="009D1FE9"/>
    <w:rsid w:val="009D2852"/>
    <w:rsid w:val="009D39CC"/>
    <w:rsid w:val="009D47BB"/>
    <w:rsid w:val="009D5A21"/>
    <w:rsid w:val="009D72AB"/>
    <w:rsid w:val="009E3AE9"/>
    <w:rsid w:val="009E7B3A"/>
    <w:rsid w:val="009F04DD"/>
    <w:rsid w:val="009F0633"/>
    <w:rsid w:val="009F1B8C"/>
    <w:rsid w:val="009F30B4"/>
    <w:rsid w:val="009F46C7"/>
    <w:rsid w:val="009F4A0A"/>
    <w:rsid w:val="009F5CB0"/>
    <w:rsid w:val="009F62FA"/>
    <w:rsid w:val="009F66AD"/>
    <w:rsid w:val="009F737C"/>
    <w:rsid w:val="009F7E73"/>
    <w:rsid w:val="009F7EBB"/>
    <w:rsid w:val="00A02CF4"/>
    <w:rsid w:val="00A048CD"/>
    <w:rsid w:val="00A04A22"/>
    <w:rsid w:val="00A04EB3"/>
    <w:rsid w:val="00A06535"/>
    <w:rsid w:val="00A06837"/>
    <w:rsid w:val="00A06B55"/>
    <w:rsid w:val="00A07F5D"/>
    <w:rsid w:val="00A110D9"/>
    <w:rsid w:val="00A13D3E"/>
    <w:rsid w:val="00A15A08"/>
    <w:rsid w:val="00A168D2"/>
    <w:rsid w:val="00A20827"/>
    <w:rsid w:val="00A20BAF"/>
    <w:rsid w:val="00A20F5A"/>
    <w:rsid w:val="00A21186"/>
    <w:rsid w:val="00A215BD"/>
    <w:rsid w:val="00A217B7"/>
    <w:rsid w:val="00A22591"/>
    <w:rsid w:val="00A23BBD"/>
    <w:rsid w:val="00A23F7F"/>
    <w:rsid w:val="00A2434F"/>
    <w:rsid w:val="00A24FB4"/>
    <w:rsid w:val="00A267D4"/>
    <w:rsid w:val="00A268AA"/>
    <w:rsid w:val="00A26BD8"/>
    <w:rsid w:val="00A276CD"/>
    <w:rsid w:val="00A302ED"/>
    <w:rsid w:val="00A30F91"/>
    <w:rsid w:val="00A31559"/>
    <w:rsid w:val="00A3289E"/>
    <w:rsid w:val="00A32A52"/>
    <w:rsid w:val="00A3463F"/>
    <w:rsid w:val="00A406DF"/>
    <w:rsid w:val="00A412D4"/>
    <w:rsid w:val="00A42C09"/>
    <w:rsid w:val="00A43047"/>
    <w:rsid w:val="00A4311E"/>
    <w:rsid w:val="00A43A64"/>
    <w:rsid w:val="00A43E8D"/>
    <w:rsid w:val="00A45064"/>
    <w:rsid w:val="00A4536A"/>
    <w:rsid w:val="00A46834"/>
    <w:rsid w:val="00A46921"/>
    <w:rsid w:val="00A46D86"/>
    <w:rsid w:val="00A4755B"/>
    <w:rsid w:val="00A479BD"/>
    <w:rsid w:val="00A47D08"/>
    <w:rsid w:val="00A47FBC"/>
    <w:rsid w:val="00A54634"/>
    <w:rsid w:val="00A547B4"/>
    <w:rsid w:val="00A54C98"/>
    <w:rsid w:val="00A5515A"/>
    <w:rsid w:val="00A56300"/>
    <w:rsid w:val="00A5664D"/>
    <w:rsid w:val="00A63019"/>
    <w:rsid w:val="00A63593"/>
    <w:rsid w:val="00A63928"/>
    <w:rsid w:val="00A66171"/>
    <w:rsid w:val="00A66ABA"/>
    <w:rsid w:val="00A67001"/>
    <w:rsid w:val="00A71EBB"/>
    <w:rsid w:val="00A73248"/>
    <w:rsid w:val="00A73674"/>
    <w:rsid w:val="00A75669"/>
    <w:rsid w:val="00A757DF"/>
    <w:rsid w:val="00A7594B"/>
    <w:rsid w:val="00A75ECB"/>
    <w:rsid w:val="00A760EC"/>
    <w:rsid w:val="00A8102F"/>
    <w:rsid w:val="00A81B93"/>
    <w:rsid w:val="00A8228C"/>
    <w:rsid w:val="00A822D9"/>
    <w:rsid w:val="00A8284B"/>
    <w:rsid w:val="00A82FD9"/>
    <w:rsid w:val="00A83011"/>
    <w:rsid w:val="00A83027"/>
    <w:rsid w:val="00A83589"/>
    <w:rsid w:val="00A83AD8"/>
    <w:rsid w:val="00A848A6"/>
    <w:rsid w:val="00A866B9"/>
    <w:rsid w:val="00A86D4C"/>
    <w:rsid w:val="00A87CA0"/>
    <w:rsid w:val="00A90534"/>
    <w:rsid w:val="00A90649"/>
    <w:rsid w:val="00A90EBD"/>
    <w:rsid w:val="00A91C98"/>
    <w:rsid w:val="00A926E0"/>
    <w:rsid w:val="00A93501"/>
    <w:rsid w:val="00A9460D"/>
    <w:rsid w:val="00A951A9"/>
    <w:rsid w:val="00A96E6F"/>
    <w:rsid w:val="00A97929"/>
    <w:rsid w:val="00AA0C46"/>
    <w:rsid w:val="00AA1064"/>
    <w:rsid w:val="00AA1901"/>
    <w:rsid w:val="00AA30ED"/>
    <w:rsid w:val="00AA3840"/>
    <w:rsid w:val="00AA3935"/>
    <w:rsid w:val="00AA3D28"/>
    <w:rsid w:val="00AA4285"/>
    <w:rsid w:val="00AA6F7F"/>
    <w:rsid w:val="00AA727B"/>
    <w:rsid w:val="00AB252D"/>
    <w:rsid w:val="00AB26A2"/>
    <w:rsid w:val="00AB2FE0"/>
    <w:rsid w:val="00AB336A"/>
    <w:rsid w:val="00AB4075"/>
    <w:rsid w:val="00AB73C5"/>
    <w:rsid w:val="00AB7542"/>
    <w:rsid w:val="00AC101D"/>
    <w:rsid w:val="00AC1559"/>
    <w:rsid w:val="00AC2459"/>
    <w:rsid w:val="00AC3CD6"/>
    <w:rsid w:val="00AC4734"/>
    <w:rsid w:val="00AC6D81"/>
    <w:rsid w:val="00AC6DE8"/>
    <w:rsid w:val="00AC7AAD"/>
    <w:rsid w:val="00AD1FF8"/>
    <w:rsid w:val="00AD29A4"/>
    <w:rsid w:val="00AD4744"/>
    <w:rsid w:val="00AD4C58"/>
    <w:rsid w:val="00AD4CD4"/>
    <w:rsid w:val="00AD5205"/>
    <w:rsid w:val="00AD6AEB"/>
    <w:rsid w:val="00AD7681"/>
    <w:rsid w:val="00AE0D0B"/>
    <w:rsid w:val="00AE1714"/>
    <w:rsid w:val="00AE38EE"/>
    <w:rsid w:val="00AE39E9"/>
    <w:rsid w:val="00AE51FE"/>
    <w:rsid w:val="00AE561E"/>
    <w:rsid w:val="00AE5D64"/>
    <w:rsid w:val="00AE65F5"/>
    <w:rsid w:val="00AF053E"/>
    <w:rsid w:val="00AF0FE0"/>
    <w:rsid w:val="00AF1C76"/>
    <w:rsid w:val="00AF1CB1"/>
    <w:rsid w:val="00AF44A0"/>
    <w:rsid w:val="00AF69B1"/>
    <w:rsid w:val="00AF6CB4"/>
    <w:rsid w:val="00AF7E4E"/>
    <w:rsid w:val="00B00D65"/>
    <w:rsid w:val="00B017B9"/>
    <w:rsid w:val="00B039ED"/>
    <w:rsid w:val="00B04EF3"/>
    <w:rsid w:val="00B071DF"/>
    <w:rsid w:val="00B10DB7"/>
    <w:rsid w:val="00B11125"/>
    <w:rsid w:val="00B11699"/>
    <w:rsid w:val="00B11DAC"/>
    <w:rsid w:val="00B12AF1"/>
    <w:rsid w:val="00B13855"/>
    <w:rsid w:val="00B151D9"/>
    <w:rsid w:val="00B15578"/>
    <w:rsid w:val="00B15ADE"/>
    <w:rsid w:val="00B15BD8"/>
    <w:rsid w:val="00B15C89"/>
    <w:rsid w:val="00B15E1D"/>
    <w:rsid w:val="00B15E62"/>
    <w:rsid w:val="00B16010"/>
    <w:rsid w:val="00B16B94"/>
    <w:rsid w:val="00B170F9"/>
    <w:rsid w:val="00B172DF"/>
    <w:rsid w:val="00B20722"/>
    <w:rsid w:val="00B20938"/>
    <w:rsid w:val="00B21A0F"/>
    <w:rsid w:val="00B24099"/>
    <w:rsid w:val="00B255BE"/>
    <w:rsid w:val="00B263D0"/>
    <w:rsid w:val="00B30619"/>
    <w:rsid w:val="00B31764"/>
    <w:rsid w:val="00B31CFD"/>
    <w:rsid w:val="00B33252"/>
    <w:rsid w:val="00B33F07"/>
    <w:rsid w:val="00B369C2"/>
    <w:rsid w:val="00B36A5D"/>
    <w:rsid w:val="00B40961"/>
    <w:rsid w:val="00B40D77"/>
    <w:rsid w:val="00B4105E"/>
    <w:rsid w:val="00B41D8C"/>
    <w:rsid w:val="00B42074"/>
    <w:rsid w:val="00B42BBF"/>
    <w:rsid w:val="00B42D67"/>
    <w:rsid w:val="00B45C5C"/>
    <w:rsid w:val="00B46527"/>
    <w:rsid w:val="00B46C77"/>
    <w:rsid w:val="00B47235"/>
    <w:rsid w:val="00B5038E"/>
    <w:rsid w:val="00B5122B"/>
    <w:rsid w:val="00B51950"/>
    <w:rsid w:val="00B527DB"/>
    <w:rsid w:val="00B52C1A"/>
    <w:rsid w:val="00B54C98"/>
    <w:rsid w:val="00B56728"/>
    <w:rsid w:val="00B5693E"/>
    <w:rsid w:val="00B56DEE"/>
    <w:rsid w:val="00B57193"/>
    <w:rsid w:val="00B57C94"/>
    <w:rsid w:val="00B605F1"/>
    <w:rsid w:val="00B60BD8"/>
    <w:rsid w:val="00B61206"/>
    <w:rsid w:val="00B62823"/>
    <w:rsid w:val="00B62B3D"/>
    <w:rsid w:val="00B62E91"/>
    <w:rsid w:val="00B63AD5"/>
    <w:rsid w:val="00B63AE7"/>
    <w:rsid w:val="00B64682"/>
    <w:rsid w:val="00B66555"/>
    <w:rsid w:val="00B66764"/>
    <w:rsid w:val="00B67616"/>
    <w:rsid w:val="00B7123C"/>
    <w:rsid w:val="00B72488"/>
    <w:rsid w:val="00B75F24"/>
    <w:rsid w:val="00B77117"/>
    <w:rsid w:val="00B806CC"/>
    <w:rsid w:val="00B80E5B"/>
    <w:rsid w:val="00B82990"/>
    <w:rsid w:val="00B82D1A"/>
    <w:rsid w:val="00B82D9C"/>
    <w:rsid w:val="00B834F6"/>
    <w:rsid w:val="00B84147"/>
    <w:rsid w:val="00B84638"/>
    <w:rsid w:val="00B847E8"/>
    <w:rsid w:val="00B8484A"/>
    <w:rsid w:val="00B8495D"/>
    <w:rsid w:val="00B84C80"/>
    <w:rsid w:val="00B867DC"/>
    <w:rsid w:val="00B87D91"/>
    <w:rsid w:val="00B905C0"/>
    <w:rsid w:val="00B92E79"/>
    <w:rsid w:val="00B9378D"/>
    <w:rsid w:val="00B94C9A"/>
    <w:rsid w:val="00B94D59"/>
    <w:rsid w:val="00B95354"/>
    <w:rsid w:val="00B9597F"/>
    <w:rsid w:val="00B96F0C"/>
    <w:rsid w:val="00B97856"/>
    <w:rsid w:val="00B97F99"/>
    <w:rsid w:val="00BA0677"/>
    <w:rsid w:val="00BA0E00"/>
    <w:rsid w:val="00BA3E1B"/>
    <w:rsid w:val="00BA3F2D"/>
    <w:rsid w:val="00BA41C5"/>
    <w:rsid w:val="00BA45B4"/>
    <w:rsid w:val="00BA4744"/>
    <w:rsid w:val="00BA487D"/>
    <w:rsid w:val="00BA4D15"/>
    <w:rsid w:val="00BA52E7"/>
    <w:rsid w:val="00BA5E25"/>
    <w:rsid w:val="00BA7BDE"/>
    <w:rsid w:val="00BA7C85"/>
    <w:rsid w:val="00BB0B27"/>
    <w:rsid w:val="00BB1F2C"/>
    <w:rsid w:val="00BB6CFA"/>
    <w:rsid w:val="00BB7C73"/>
    <w:rsid w:val="00BC16BB"/>
    <w:rsid w:val="00BC2578"/>
    <w:rsid w:val="00BC2618"/>
    <w:rsid w:val="00BC2997"/>
    <w:rsid w:val="00BC2C87"/>
    <w:rsid w:val="00BC311E"/>
    <w:rsid w:val="00BC5332"/>
    <w:rsid w:val="00BC700E"/>
    <w:rsid w:val="00BC7390"/>
    <w:rsid w:val="00BC77E6"/>
    <w:rsid w:val="00BD0EF5"/>
    <w:rsid w:val="00BD1F64"/>
    <w:rsid w:val="00BD23D9"/>
    <w:rsid w:val="00BD3B6D"/>
    <w:rsid w:val="00BD42FA"/>
    <w:rsid w:val="00BD4CCC"/>
    <w:rsid w:val="00BD55B1"/>
    <w:rsid w:val="00BD5801"/>
    <w:rsid w:val="00BD5F65"/>
    <w:rsid w:val="00BE1813"/>
    <w:rsid w:val="00BE232B"/>
    <w:rsid w:val="00BE2ABC"/>
    <w:rsid w:val="00BE4558"/>
    <w:rsid w:val="00BE4F31"/>
    <w:rsid w:val="00BE7015"/>
    <w:rsid w:val="00BF03F1"/>
    <w:rsid w:val="00BF0966"/>
    <w:rsid w:val="00BF124A"/>
    <w:rsid w:val="00BF17FF"/>
    <w:rsid w:val="00BF25EA"/>
    <w:rsid w:val="00BF2C61"/>
    <w:rsid w:val="00BF3178"/>
    <w:rsid w:val="00BF371C"/>
    <w:rsid w:val="00BF398F"/>
    <w:rsid w:val="00BF6453"/>
    <w:rsid w:val="00C0191F"/>
    <w:rsid w:val="00C01AFC"/>
    <w:rsid w:val="00C03B07"/>
    <w:rsid w:val="00C041D3"/>
    <w:rsid w:val="00C04458"/>
    <w:rsid w:val="00C052BE"/>
    <w:rsid w:val="00C05917"/>
    <w:rsid w:val="00C061C6"/>
    <w:rsid w:val="00C078BE"/>
    <w:rsid w:val="00C10384"/>
    <w:rsid w:val="00C110AC"/>
    <w:rsid w:val="00C124F1"/>
    <w:rsid w:val="00C14B76"/>
    <w:rsid w:val="00C16CBB"/>
    <w:rsid w:val="00C178AE"/>
    <w:rsid w:val="00C228A3"/>
    <w:rsid w:val="00C231F4"/>
    <w:rsid w:val="00C23A23"/>
    <w:rsid w:val="00C24697"/>
    <w:rsid w:val="00C24D67"/>
    <w:rsid w:val="00C255A7"/>
    <w:rsid w:val="00C266EF"/>
    <w:rsid w:val="00C277B7"/>
    <w:rsid w:val="00C27CC3"/>
    <w:rsid w:val="00C30514"/>
    <w:rsid w:val="00C30574"/>
    <w:rsid w:val="00C30945"/>
    <w:rsid w:val="00C311FB"/>
    <w:rsid w:val="00C31BA7"/>
    <w:rsid w:val="00C31CC0"/>
    <w:rsid w:val="00C338AA"/>
    <w:rsid w:val="00C360CA"/>
    <w:rsid w:val="00C4116C"/>
    <w:rsid w:val="00C41F4B"/>
    <w:rsid w:val="00C42637"/>
    <w:rsid w:val="00C42990"/>
    <w:rsid w:val="00C42F17"/>
    <w:rsid w:val="00C42FE1"/>
    <w:rsid w:val="00C438C4"/>
    <w:rsid w:val="00C44966"/>
    <w:rsid w:val="00C449E5"/>
    <w:rsid w:val="00C450A4"/>
    <w:rsid w:val="00C4529B"/>
    <w:rsid w:val="00C4578E"/>
    <w:rsid w:val="00C45E7A"/>
    <w:rsid w:val="00C46794"/>
    <w:rsid w:val="00C500E6"/>
    <w:rsid w:val="00C51052"/>
    <w:rsid w:val="00C52299"/>
    <w:rsid w:val="00C52C28"/>
    <w:rsid w:val="00C52ECB"/>
    <w:rsid w:val="00C54725"/>
    <w:rsid w:val="00C5673F"/>
    <w:rsid w:val="00C56B6E"/>
    <w:rsid w:val="00C56EF3"/>
    <w:rsid w:val="00C57466"/>
    <w:rsid w:val="00C57BB1"/>
    <w:rsid w:val="00C60AD4"/>
    <w:rsid w:val="00C60F10"/>
    <w:rsid w:val="00C61A49"/>
    <w:rsid w:val="00C627DA"/>
    <w:rsid w:val="00C62897"/>
    <w:rsid w:val="00C63C3B"/>
    <w:rsid w:val="00C650F5"/>
    <w:rsid w:val="00C65623"/>
    <w:rsid w:val="00C657F2"/>
    <w:rsid w:val="00C6623D"/>
    <w:rsid w:val="00C6654E"/>
    <w:rsid w:val="00C67C4B"/>
    <w:rsid w:val="00C723FB"/>
    <w:rsid w:val="00C7252C"/>
    <w:rsid w:val="00C756FA"/>
    <w:rsid w:val="00C7647D"/>
    <w:rsid w:val="00C76E74"/>
    <w:rsid w:val="00C803EA"/>
    <w:rsid w:val="00C8069D"/>
    <w:rsid w:val="00C8083C"/>
    <w:rsid w:val="00C81E14"/>
    <w:rsid w:val="00C85835"/>
    <w:rsid w:val="00C86394"/>
    <w:rsid w:val="00C8788B"/>
    <w:rsid w:val="00C90330"/>
    <w:rsid w:val="00C91110"/>
    <w:rsid w:val="00C937A3"/>
    <w:rsid w:val="00C93D0E"/>
    <w:rsid w:val="00C94B69"/>
    <w:rsid w:val="00C94FC9"/>
    <w:rsid w:val="00C9503E"/>
    <w:rsid w:val="00C954CB"/>
    <w:rsid w:val="00C95786"/>
    <w:rsid w:val="00C962B2"/>
    <w:rsid w:val="00C96721"/>
    <w:rsid w:val="00C9678D"/>
    <w:rsid w:val="00C96AE2"/>
    <w:rsid w:val="00C96B34"/>
    <w:rsid w:val="00C97566"/>
    <w:rsid w:val="00CA08A5"/>
    <w:rsid w:val="00CA25AF"/>
    <w:rsid w:val="00CA27C2"/>
    <w:rsid w:val="00CA2B88"/>
    <w:rsid w:val="00CA2DC5"/>
    <w:rsid w:val="00CA3A28"/>
    <w:rsid w:val="00CA46FE"/>
    <w:rsid w:val="00CA6D34"/>
    <w:rsid w:val="00CA7094"/>
    <w:rsid w:val="00CA7175"/>
    <w:rsid w:val="00CB1807"/>
    <w:rsid w:val="00CB20DF"/>
    <w:rsid w:val="00CB2536"/>
    <w:rsid w:val="00CB2AA5"/>
    <w:rsid w:val="00CB3164"/>
    <w:rsid w:val="00CB34A3"/>
    <w:rsid w:val="00CB532B"/>
    <w:rsid w:val="00CB53C6"/>
    <w:rsid w:val="00CB6456"/>
    <w:rsid w:val="00CC0027"/>
    <w:rsid w:val="00CC061D"/>
    <w:rsid w:val="00CC4814"/>
    <w:rsid w:val="00CC485B"/>
    <w:rsid w:val="00CC4CC1"/>
    <w:rsid w:val="00CD0E16"/>
    <w:rsid w:val="00CD22D5"/>
    <w:rsid w:val="00CD3042"/>
    <w:rsid w:val="00CD338F"/>
    <w:rsid w:val="00CD35B7"/>
    <w:rsid w:val="00CD5415"/>
    <w:rsid w:val="00CD5483"/>
    <w:rsid w:val="00CD6773"/>
    <w:rsid w:val="00CD6BBC"/>
    <w:rsid w:val="00CD6C1F"/>
    <w:rsid w:val="00CD7442"/>
    <w:rsid w:val="00CD77E2"/>
    <w:rsid w:val="00CE0B39"/>
    <w:rsid w:val="00CE2B98"/>
    <w:rsid w:val="00CE315B"/>
    <w:rsid w:val="00CE33FC"/>
    <w:rsid w:val="00CE3758"/>
    <w:rsid w:val="00CE3E93"/>
    <w:rsid w:val="00CE554B"/>
    <w:rsid w:val="00CE6132"/>
    <w:rsid w:val="00CF07DF"/>
    <w:rsid w:val="00CF0D3D"/>
    <w:rsid w:val="00CF103C"/>
    <w:rsid w:val="00CF12A1"/>
    <w:rsid w:val="00CF20C0"/>
    <w:rsid w:val="00CF247A"/>
    <w:rsid w:val="00CF30C3"/>
    <w:rsid w:val="00CF3F5D"/>
    <w:rsid w:val="00CF57F3"/>
    <w:rsid w:val="00CF5C91"/>
    <w:rsid w:val="00CF6767"/>
    <w:rsid w:val="00CF751C"/>
    <w:rsid w:val="00D00FC4"/>
    <w:rsid w:val="00D01A66"/>
    <w:rsid w:val="00D01B46"/>
    <w:rsid w:val="00D02993"/>
    <w:rsid w:val="00D02B5B"/>
    <w:rsid w:val="00D046C9"/>
    <w:rsid w:val="00D049AB"/>
    <w:rsid w:val="00D05E38"/>
    <w:rsid w:val="00D11840"/>
    <w:rsid w:val="00D13107"/>
    <w:rsid w:val="00D14886"/>
    <w:rsid w:val="00D14B90"/>
    <w:rsid w:val="00D15A6B"/>
    <w:rsid w:val="00D15B73"/>
    <w:rsid w:val="00D22615"/>
    <w:rsid w:val="00D231AA"/>
    <w:rsid w:val="00D26F4D"/>
    <w:rsid w:val="00D313E5"/>
    <w:rsid w:val="00D31E33"/>
    <w:rsid w:val="00D32096"/>
    <w:rsid w:val="00D34F30"/>
    <w:rsid w:val="00D37E99"/>
    <w:rsid w:val="00D408EE"/>
    <w:rsid w:val="00D448F0"/>
    <w:rsid w:val="00D45C2B"/>
    <w:rsid w:val="00D45E9A"/>
    <w:rsid w:val="00D53E25"/>
    <w:rsid w:val="00D54060"/>
    <w:rsid w:val="00D54895"/>
    <w:rsid w:val="00D54AD4"/>
    <w:rsid w:val="00D552FC"/>
    <w:rsid w:val="00D557BB"/>
    <w:rsid w:val="00D55C61"/>
    <w:rsid w:val="00D55DAC"/>
    <w:rsid w:val="00D5756B"/>
    <w:rsid w:val="00D6004D"/>
    <w:rsid w:val="00D60111"/>
    <w:rsid w:val="00D60763"/>
    <w:rsid w:val="00D61D25"/>
    <w:rsid w:val="00D645D9"/>
    <w:rsid w:val="00D67272"/>
    <w:rsid w:val="00D67959"/>
    <w:rsid w:val="00D72227"/>
    <w:rsid w:val="00D730CB"/>
    <w:rsid w:val="00D74B79"/>
    <w:rsid w:val="00D761CE"/>
    <w:rsid w:val="00D76673"/>
    <w:rsid w:val="00D76AD9"/>
    <w:rsid w:val="00D76D1D"/>
    <w:rsid w:val="00D8119A"/>
    <w:rsid w:val="00D81387"/>
    <w:rsid w:val="00D8174E"/>
    <w:rsid w:val="00D81C33"/>
    <w:rsid w:val="00D83DAE"/>
    <w:rsid w:val="00D842F5"/>
    <w:rsid w:val="00D85BCB"/>
    <w:rsid w:val="00D86084"/>
    <w:rsid w:val="00D87D89"/>
    <w:rsid w:val="00D92D03"/>
    <w:rsid w:val="00D92E67"/>
    <w:rsid w:val="00D932DC"/>
    <w:rsid w:val="00D936A5"/>
    <w:rsid w:val="00D94096"/>
    <w:rsid w:val="00D96F1A"/>
    <w:rsid w:val="00DA102C"/>
    <w:rsid w:val="00DA1689"/>
    <w:rsid w:val="00DA1F7C"/>
    <w:rsid w:val="00DA2C88"/>
    <w:rsid w:val="00DA4BE8"/>
    <w:rsid w:val="00DA5022"/>
    <w:rsid w:val="00DA6207"/>
    <w:rsid w:val="00DA6B22"/>
    <w:rsid w:val="00DA7D52"/>
    <w:rsid w:val="00DB0A08"/>
    <w:rsid w:val="00DB286C"/>
    <w:rsid w:val="00DB2BA9"/>
    <w:rsid w:val="00DB3C04"/>
    <w:rsid w:val="00DB457E"/>
    <w:rsid w:val="00DB5281"/>
    <w:rsid w:val="00DB7021"/>
    <w:rsid w:val="00DB7C87"/>
    <w:rsid w:val="00DC0C45"/>
    <w:rsid w:val="00DC1036"/>
    <w:rsid w:val="00DC1B00"/>
    <w:rsid w:val="00DC1D62"/>
    <w:rsid w:val="00DC2757"/>
    <w:rsid w:val="00DC4B8B"/>
    <w:rsid w:val="00DD2005"/>
    <w:rsid w:val="00DD55D8"/>
    <w:rsid w:val="00DD5956"/>
    <w:rsid w:val="00DD5A13"/>
    <w:rsid w:val="00DE19C7"/>
    <w:rsid w:val="00DE1AEB"/>
    <w:rsid w:val="00DE1BCF"/>
    <w:rsid w:val="00DE3CC9"/>
    <w:rsid w:val="00DE416F"/>
    <w:rsid w:val="00DE51C4"/>
    <w:rsid w:val="00DE5E01"/>
    <w:rsid w:val="00DE6AF1"/>
    <w:rsid w:val="00DE72B1"/>
    <w:rsid w:val="00DE781A"/>
    <w:rsid w:val="00DE7A88"/>
    <w:rsid w:val="00DF090F"/>
    <w:rsid w:val="00DF151F"/>
    <w:rsid w:val="00DF2288"/>
    <w:rsid w:val="00DF2C81"/>
    <w:rsid w:val="00DF496E"/>
    <w:rsid w:val="00DF4A36"/>
    <w:rsid w:val="00DF5233"/>
    <w:rsid w:val="00DF55B0"/>
    <w:rsid w:val="00E0013A"/>
    <w:rsid w:val="00E01A03"/>
    <w:rsid w:val="00E021E3"/>
    <w:rsid w:val="00E02693"/>
    <w:rsid w:val="00E06002"/>
    <w:rsid w:val="00E064A5"/>
    <w:rsid w:val="00E0657E"/>
    <w:rsid w:val="00E073FE"/>
    <w:rsid w:val="00E10233"/>
    <w:rsid w:val="00E1142E"/>
    <w:rsid w:val="00E11B8E"/>
    <w:rsid w:val="00E13933"/>
    <w:rsid w:val="00E13945"/>
    <w:rsid w:val="00E146EC"/>
    <w:rsid w:val="00E152A4"/>
    <w:rsid w:val="00E15675"/>
    <w:rsid w:val="00E15E26"/>
    <w:rsid w:val="00E201E8"/>
    <w:rsid w:val="00E2082C"/>
    <w:rsid w:val="00E20D48"/>
    <w:rsid w:val="00E22853"/>
    <w:rsid w:val="00E23AA4"/>
    <w:rsid w:val="00E256BC"/>
    <w:rsid w:val="00E272EC"/>
    <w:rsid w:val="00E27901"/>
    <w:rsid w:val="00E30143"/>
    <w:rsid w:val="00E3120A"/>
    <w:rsid w:val="00E3197D"/>
    <w:rsid w:val="00E31F4D"/>
    <w:rsid w:val="00E324E9"/>
    <w:rsid w:val="00E32A35"/>
    <w:rsid w:val="00E34141"/>
    <w:rsid w:val="00E34C6D"/>
    <w:rsid w:val="00E35336"/>
    <w:rsid w:val="00E356CA"/>
    <w:rsid w:val="00E358F8"/>
    <w:rsid w:val="00E3741A"/>
    <w:rsid w:val="00E41003"/>
    <w:rsid w:val="00E41A06"/>
    <w:rsid w:val="00E41B1A"/>
    <w:rsid w:val="00E422EA"/>
    <w:rsid w:val="00E42976"/>
    <w:rsid w:val="00E42E49"/>
    <w:rsid w:val="00E44348"/>
    <w:rsid w:val="00E44606"/>
    <w:rsid w:val="00E4485E"/>
    <w:rsid w:val="00E46A65"/>
    <w:rsid w:val="00E477AC"/>
    <w:rsid w:val="00E47E65"/>
    <w:rsid w:val="00E502C6"/>
    <w:rsid w:val="00E5277A"/>
    <w:rsid w:val="00E55582"/>
    <w:rsid w:val="00E55BE0"/>
    <w:rsid w:val="00E564B2"/>
    <w:rsid w:val="00E5681A"/>
    <w:rsid w:val="00E5731A"/>
    <w:rsid w:val="00E57355"/>
    <w:rsid w:val="00E607D7"/>
    <w:rsid w:val="00E60DA9"/>
    <w:rsid w:val="00E61029"/>
    <w:rsid w:val="00E610E1"/>
    <w:rsid w:val="00E61BDA"/>
    <w:rsid w:val="00E61C46"/>
    <w:rsid w:val="00E62348"/>
    <w:rsid w:val="00E6359B"/>
    <w:rsid w:val="00E63697"/>
    <w:rsid w:val="00E64F62"/>
    <w:rsid w:val="00E6620A"/>
    <w:rsid w:val="00E66FE4"/>
    <w:rsid w:val="00E6736E"/>
    <w:rsid w:val="00E67751"/>
    <w:rsid w:val="00E67A64"/>
    <w:rsid w:val="00E7016D"/>
    <w:rsid w:val="00E717FD"/>
    <w:rsid w:val="00E718ED"/>
    <w:rsid w:val="00E72FA5"/>
    <w:rsid w:val="00E73A29"/>
    <w:rsid w:val="00E75832"/>
    <w:rsid w:val="00E7632D"/>
    <w:rsid w:val="00E77E74"/>
    <w:rsid w:val="00E80059"/>
    <w:rsid w:val="00E81455"/>
    <w:rsid w:val="00E836D9"/>
    <w:rsid w:val="00E84825"/>
    <w:rsid w:val="00E85049"/>
    <w:rsid w:val="00E851B2"/>
    <w:rsid w:val="00E87544"/>
    <w:rsid w:val="00E87FB0"/>
    <w:rsid w:val="00E90077"/>
    <w:rsid w:val="00E91279"/>
    <w:rsid w:val="00E949B3"/>
    <w:rsid w:val="00E954A3"/>
    <w:rsid w:val="00E9605A"/>
    <w:rsid w:val="00E972AB"/>
    <w:rsid w:val="00E9761F"/>
    <w:rsid w:val="00EA0BA7"/>
    <w:rsid w:val="00EA0C57"/>
    <w:rsid w:val="00EA1451"/>
    <w:rsid w:val="00EA20D1"/>
    <w:rsid w:val="00EA2DEA"/>
    <w:rsid w:val="00EA3AB2"/>
    <w:rsid w:val="00EA3DCC"/>
    <w:rsid w:val="00EA460A"/>
    <w:rsid w:val="00EA4789"/>
    <w:rsid w:val="00EA4F9E"/>
    <w:rsid w:val="00EA567C"/>
    <w:rsid w:val="00EA5F46"/>
    <w:rsid w:val="00EA67C3"/>
    <w:rsid w:val="00EB406D"/>
    <w:rsid w:val="00EB588D"/>
    <w:rsid w:val="00EB7100"/>
    <w:rsid w:val="00EB75A1"/>
    <w:rsid w:val="00EB785F"/>
    <w:rsid w:val="00EC081B"/>
    <w:rsid w:val="00EC1B71"/>
    <w:rsid w:val="00EC433A"/>
    <w:rsid w:val="00EC4B1D"/>
    <w:rsid w:val="00EC592C"/>
    <w:rsid w:val="00EC5BCF"/>
    <w:rsid w:val="00EC6484"/>
    <w:rsid w:val="00EC7F4B"/>
    <w:rsid w:val="00ED0258"/>
    <w:rsid w:val="00ED2282"/>
    <w:rsid w:val="00ED2C36"/>
    <w:rsid w:val="00ED4337"/>
    <w:rsid w:val="00ED4668"/>
    <w:rsid w:val="00ED543E"/>
    <w:rsid w:val="00ED54A6"/>
    <w:rsid w:val="00ED69AE"/>
    <w:rsid w:val="00ED7A23"/>
    <w:rsid w:val="00EE0F36"/>
    <w:rsid w:val="00EE7E4F"/>
    <w:rsid w:val="00EE7F21"/>
    <w:rsid w:val="00EF0C58"/>
    <w:rsid w:val="00EF250D"/>
    <w:rsid w:val="00EF3E57"/>
    <w:rsid w:val="00EF540B"/>
    <w:rsid w:val="00EF5AF0"/>
    <w:rsid w:val="00EF61AE"/>
    <w:rsid w:val="00F004CE"/>
    <w:rsid w:val="00F00847"/>
    <w:rsid w:val="00F011E4"/>
    <w:rsid w:val="00F0146F"/>
    <w:rsid w:val="00F0220B"/>
    <w:rsid w:val="00F0221B"/>
    <w:rsid w:val="00F0251B"/>
    <w:rsid w:val="00F02D78"/>
    <w:rsid w:val="00F03204"/>
    <w:rsid w:val="00F038B7"/>
    <w:rsid w:val="00F043B2"/>
    <w:rsid w:val="00F04614"/>
    <w:rsid w:val="00F06D57"/>
    <w:rsid w:val="00F1063C"/>
    <w:rsid w:val="00F10756"/>
    <w:rsid w:val="00F12766"/>
    <w:rsid w:val="00F12B0F"/>
    <w:rsid w:val="00F13746"/>
    <w:rsid w:val="00F17C33"/>
    <w:rsid w:val="00F2022D"/>
    <w:rsid w:val="00F214BD"/>
    <w:rsid w:val="00F218E3"/>
    <w:rsid w:val="00F25571"/>
    <w:rsid w:val="00F25B67"/>
    <w:rsid w:val="00F2657D"/>
    <w:rsid w:val="00F267A0"/>
    <w:rsid w:val="00F27CF5"/>
    <w:rsid w:val="00F301AD"/>
    <w:rsid w:val="00F3121B"/>
    <w:rsid w:val="00F321D3"/>
    <w:rsid w:val="00F325A9"/>
    <w:rsid w:val="00F32E18"/>
    <w:rsid w:val="00F3303F"/>
    <w:rsid w:val="00F33836"/>
    <w:rsid w:val="00F36C02"/>
    <w:rsid w:val="00F401D2"/>
    <w:rsid w:val="00F4052E"/>
    <w:rsid w:val="00F40A60"/>
    <w:rsid w:val="00F40EA5"/>
    <w:rsid w:val="00F41A91"/>
    <w:rsid w:val="00F42043"/>
    <w:rsid w:val="00F42F3B"/>
    <w:rsid w:val="00F437F6"/>
    <w:rsid w:val="00F44766"/>
    <w:rsid w:val="00F447E2"/>
    <w:rsid w:val="00F454E0"/>
    <w:rsid w:val="00F4624E"/>
    <w:rsid w:val="00F46834"/>
    <w:rsid w:val="00F46FD0"/>
    <w:rsid w:val="00F50A38"/>
    <w:rsid w:val="00F51B0D"/>
    <w:rsid w:val="00F53BB0"/>
    <w:rsid w:val="00F5415E"/>
    <w:rsid w:val="00F5485C"/>
    <w:rsid w:val="00F55701"/>
    <w:rsid w:val="00F5697D"/>
    <w:rsid w:val="00F57C71"/>
    <w:rsid w:val="00F57C7C"/>
    <w:rsid w:val="00F60478"/>
    <w:rsid w:val="00F61065"/>
    <w:rsid w:val="00F624F9"/>
    <w:rsid w:val="00F6264C"/>
    <w:rsid w:val="00F62897"/>
    <w:rsid w:val="00F631BF"/>
    <w:rsid w:val="00F63FE2"/>
    <w:rsid w:val="00F641D7"/>
    <w:rsid w:val="00F643B1"/>
    <w:rsid w:val="00F7134B"/>
    <w:rsid w:val="00F72BA8"/>
    <w:rsid w:val="00F73188"/>
    <w:rsid w:val="00F73530"/>
    <w:rsid w:val="00F7526A"/>
    <w:rsid w:val="00F756C2"/>
    <w:rsid w:val="00F75784"/>
    <w:rsid w:val="00F76E0E"/>
    <w:rsid w:val="00F77878"/>
    <w:rsid w:val="00F77EB6"/>
    <w:rsid w:val="00F77F1C"/>
    <w:rsid w:val="00F80743"/>
    <w:rsid w:val="00F83382"/>
    <w:rsid w:val="00F84043"/>
    <w:rsid w:val="00F84679"/>
    <w:rsid w:val="00F863D4"/>
    <w:rsid w:val="00F900EB"/>
    <w:rsid w:val="00F905DD"/>
    <w:rsid w:val="00F9145F"/>
    <w:rsid w:val="00F91D1A"/>
    <w:rsid w:val="00F9240E"/>
    <w:rsid w:val="00F93B5C"/>
    <w:rsid w:val="00F9445F"/>
    <w:rsid w:val="00F950E9"/>
    <w:rsid w:val="00F952F0"/>
    <w:rsid w:val="00F953FB"/>
    <w:rsid w:val="00F97255"/>
    <w:rsid w:val="00F972BA"/>
    <w:rsid w:val="00FA19DC"/>
    <w:rsid w:val="00FA2262"/>
    <w:rsid w:val="00FA4053"/>
    <w:rsid w:val="00FA46F5"/>
    <w:rsid w:val="00FA582E"/>
    <w:rsid w:val="00FA6CC0"/>
    <w:rsid w:val="00FA70D5"/>
    <w:rsid w:val="00FA7EEE"/>
    <w:rsid w:val="00FB0A84"/>
    <w:rsid w:val="00FB1332"/>
    <w:rsid w:val="00FB145E"/>
    <w:rsid w:val="00FB3649"/>
    <w:rsid w:val="00FB3E6F"/>
    <w:rsid w:val="00FB433F"/>
    <w:rsid w:val="00FB5073"/>
    <w:rsid w:val="00FB52EB"/>
    <w:rsid w:val="00FB5637"/>
    <w:rsid w:val="00FB7416"/>
    <w:rsid w:val="00FB7823"/>
    <w:rsid w:val="00FB795C"/>
    <w:rsid w:val="00FC05AF"/>
    <w:rsid w:val="00FC235A"/>
    <w:rsid w:val="00FC24FF"/>
    <w:rsid w:val="00FC2ED0"/>
    <w:rsid w:val="00FC36FA"/>
    <w:rsid w:val="00FC3E43"/>
    <w:rsid w:val="00FD2A53"/>
    <w:rsid w:val="00FD49F6"/>
    <w:rsid w:val="00FD4CE1"/>
    <w:rsid w:val="00FD5709"/>
    <w:rsid w:val="00FD5DE1"/>
    <w:rsid w:val="00FD71BE"/>
    <w:rsid w:val="00FD76DF"/>
    <w:rsid w:val="00FE14C9"/>
    <w:rsid w:val="00FE2FEC"/>
    <w:rsid w:val="00FE3E36"/>
    <w:rsid w:val="00FE43D6"/>
    <w:rsid w:val="00FE562A"/>
    <w:rsid w:val="00FE5670"/>
    <w:rsid w:val="00FE5A0F"/>
    <w:rsid w:val="00FE616B"/>
    <w:rsid w:val="00FF0EF4"/>
    <w:rsid w:val="00FF0F3B"/>
    <w:rsid w:val="00FF3551"/>
    <w:rsid w:val="00FF45B8"/>
    <w:rsid w:val="00FF4ED5"/>
    <w:rsid w:val="00FF5D27"/>
    <w:rsid w:val="00FF64BE"/>
    <w:rsid w:val="00FF6AED"/>
    <w:rsid w:val="00FF76D1"/>
    <w:rsid w:val="40990149"/>
    <w:rsid w:val="624946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qFormat/>
    <w:uiPriority w:val="9"/>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36"/>
    <w:qFormat/>
    <w:uiPriority w:val="0"/>
    <w:pPr>
      <w:keepNext/>
      <w:keepLines/>
      <w:spacing w:line="720" w:lineRule="auto"/>
      <w:outlineLvl w:val="1"/>
    </w:pPr>
    <w:rPr>
      <w:rFonts w:ascii="黑体" w:hAnsi="Arial" w:eastAsia="黑体"/>
      <w:b/>
      <w:bCs/>
      <w:kern w:val="0"/>
      <w:sz w:val="28"/>
      <w:szCs w:val="28"/>
    </w:rPr>
  </w:style>
  <w:style w:type="paragraph" w:styleId="4">
    <w:name w:val="heading 3"/>
    <w:basedOn w:val="1"/>
    <w:next w:val="1"/>
    <w:link w:val="37"/>
    <w:qFormat/>
    <w:uiPriority w:val="0"/>
    <w:pPr>
      <w:keepNext/>
      <w:keepLines/>
      <w:spacing w:before="260" w:after="260" w:line="416" w:lineRule="auto"/>
      <w:outlineLvl w:val="2"/>
    </w:pPr>
    <w:rPr>
      <w:rFonts w:ascii="Times New Roman" w:hAnsi="Times New Roman"/>
      <w:b/>
      <w:bCs/>
      <w:kern w:val="0"/>
      <w:sz w:val="32"/>
      <w:szCs w:val="32"/>
    </w:rPr>
  </w:style>
  <w:style w:type="paragraph" w:styleId="5">
    <w:name w:val="heading 4"/>
    <w:basedOn w:val="1"/>
    <w:next w:val="1"/>
    <w:link w:val="38"/>
    <w:unhideWhenUsed/>
    <w:qFormat/>
    <w:uiPriority w:val="9"/>
    <w:pPr>
      <w:keepNext/>
      <w:keepLines/>
      <w:spacing w:before="280" w:after="290" w:line="360" w:lineRule="auto"/>
      <w:outlineLvl w:val="3"/>
    </w:pPr>
    <w:rPr>
      <w:rFonts w:ascii="Cambria" w:hAnsi="Cambria"/>
      <w:b/>
      <w:bCs/>
      <w:sz w:val="28"/>
      <w:szCs w:val="28"/>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50"/>
    <w:unhideWhenUsed/>
    <w:qFormat/>
    <w:uiPriority w:val="99"/>
    <w:rPr>
      <w:rFonts w:ascii="宋体" w:hAnsi="Times New Roman"/>
      <w:sz w:val="18"/>
      <w:szCs w:val="18"/>
    </w:rPr>
  </w:style>
  <w:style w:type="paragraph" w:styleId="7">
    <w:name w:val="annotation text"/>
    <w:basedOn w:val="1"/>
    <w:link w:val="46"/>
    <w:unhideWhenUsed/>
    <w:qFormat/>
    <w:uiPriority w:val="0"/>
    <w:pPr>
      <w:jc w:val="left"/>
    </w:pPr>
  </w:style>
  <w:style w:type="paragraph" w:styleId="8">
    <w:name w:val="Body Text"/>
    <w:basedOn w:val="1"/>
    <w:link w:val="53"/>
    <w:qFormat/>
    <w:uiPriority w:val="1"/>
    <w:pPr>
      <w:spacing w:before="53"/>
      <w:ind w:left="120"/>
      <w:jc w:val="left"/>
    </w:pPr>
    <w:rPr>
      <w:rFonts w:ascii="宋体" w:hAnsi="宋体"/>
      <w:kern w:val="0"/>
      <w:sz w:val="30"/>
      <w:szCs w:val="30"/>
      <w:lang w:eastAsia="en-US"/>
    </w:rPr>
  </w:style>
  <w:style w:type="paragraph" w:styleId="9">
    <w:name w:val="toc 3"/>
    <w:basedOn w:val="1"/>
    <w:next w:val="1"/>
    <w:qFormat/>
    <w:uiPriority w:val="39"/>
    <w:pPr>
      <w:widowControl/>
      <w:spacing w:after="100" w:line="276" w:lineRule="auto"/>
      <w:ind w:left="440"/>
      <w:jc w:val="left"/>
    </w:pPr>
    <w:rPr>
      <w:kern w:val="0"/>
      <w:sz w:val="22"/>
    </w:rPr>
  </w:style>
  <w:style w:type="paragraph" w:styleId="10">
    <w:name w:val="Plain Text"/>
    <w:basedOn w:val="1"/>
    <w:link w:val="54"/>
    <w:qFormat/>
    <w:uiPriority w:val="0"/>
    <w:rPr>
      <w:rFonts w:ascii="宋体" w:hAnsi="Courier New"/>
      <w:szCs w:val="20"/>
    </w:rPr>
  </w:style>
  <w:style w:type="paragraph" w:styleId="11">
    <w:name w:val="Date"/>
    <w:basedOn w:val="1"/>
    <w:next w:val="1"/>
    <w:link w:val="55"/>
    <w:unhideWhenUsed/>
    <w:qFormat/>
    <w:uiPriority w:val="99"/>
    <w:pPr>
      <w:ind w:left="100" w:leftChars="2500"/>
    </w:pPr>
    <w:rPr>
      <w:rFonts w:ascii="Times New Roman" w:hAnsi="Times New Roman"/>
      <w:szCs w:val="24"/>
    </w:rPr>
  </w:style>
  <w:style w:type="paragraph" w:styleId="12">
    <w:name w:val="endnote text"/>
    <w:basedOn w:val="1"/>
    <w:link w:val="58"/>
    <w:qFormat/>
    <w:uiPriority w:val="0"/>
    <w:pPr>
      <w:snapToGrid w:val="0"/>
      <w:jc w:val="left"/>
    </w:pPr>
    <w:rPr>
      <w:rFonts w:ascii="Times New Roman" w:hAnsi="Times New Roman"/>
      <w:kern w:val="0"/>
      <w:sz w:val="20"/>
      <w:szCs w:val="24"/>
    </w:rPr>
  </w:style>
  <w:style w:type="paragraph" w:styleId="13">
    <w:name w:val="Balloon Text"/>
    <w:basedOn w:val="1"/>
    <w:link w:val="41"/>
    <w:unhideWhenUsed/>
    <w:qFormat/>
    <w:uiPriority w:val="99"/>
    <w:rPr>
      <w:sz w:val="18"/>
      <w:szCs w:val="18"/>
    </w:rPr>
  </w:style>
  <w:style w:type="paragraph" w:styleId="14">
    <w:name w:val="footer"/>
    <w:basedOn w:val="1"/>
    <w:link w:val="43"/>
    <w:unhideWhenUsed/>
    <w:qFormat/>
    <w:uiPriority w:val="99"/>
    <w:pPr>
      <w:tabs>
        <w:tab w:val="center" w:pos="4153"/>
        <w:tab w:val="right" w:pos="8306"/>
      </w:tabs>
      <w:snapToGrid w:val="0"/>
      <w:jc w:val="left"/>
    </w:pPr>
    <w:rPr>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6482"/>
      </w:tabs>
      <w:spacing w:line="360" w:lineRule="auto"/>
    </w:pPr>
    <w:rPr>
      <w:rFonts w:ascii="黑体" w:hAnsi="宋体" w:eastAsia="黑体"/>
      <w:b/>
      <w:sz w:val="28"/>
      <w:szCs w:val="28"/>
    </w:rPr>
  </w:style>
  <w:style w:type="paragraph" w:styleId="17">
    <w:name w:val="footnote text"/>
    <w:basedOn w:val="1"/>
    <w:link w:val="59"/>
    <w:qFormat/>
    <w:uiPriority w:val="0"/>
    <w:pPr>
      <w:snapToGrid w:val="0"/>
      <w:jc w:val="left"/>
    </w:pPr>
    <w:rPr>
      <w:rFonts w:ascii="Times New Roman" w:hAnsi="Times New Roman"/>
      <w:kern w:val="0"/>
      <w:sz w:val="18"/>
      <w:szCs w:val="18"/>
    </w:rPr>
  </w:style>
  <w:style w:type="paragraph" w:styleId="18">
    <w:name w:val="toc 2"/>
    <w:basedOn w:val="1"/>
    <w:next w:val="1"/>
    <w:qFormat/>
    <w:uiPriority w:val="39"/>
    <w:pPr>
      <w:widowControl/>
      <w:tabs>
        <w:tab w:val="right" w:leader="dot" w:pos="6482"/>
      </w:tabs>
      <w:spacing w:line="360" w:lineRule="auto"/>
      <w:jc w:val="left"/>
    </w:pPr>
    <w:rPr>
      <w:rFonts w:ascii="黑体" w:eastAsia="黑体"/>
      <w:kern w:val="0"/>
      <w:sz w:val="24"/>
      <w:szCs w:val="24"/>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7"/>
    <w:next w:val="7"/>
    <w:link w:val="47"/>
    <w:unhideWhenUsed/>
    <w:qFormat/>
    <w:uiPriority w:val="99"/>
    <w:rPr>
      <w:rFonts w:ascii="Times New Roman" w:hAnsi="Times New Roman"/>
      <w:b/>
      <w:bCs/>
      <w:kern w:val="0"/>
      <w:sz w:val="20"/>
      <w:szCs w:val="24"/>
    </w:rPr>
  </w:style>
  <w:style w:type="table" w:styleId="22">
    <w:name w:val="Table Grid"/>
    <w:basedOn w:val="21"/>
    <w:uiPriority w:val="39"/>
    <w:rPr>
      <w:rFonts w:ascii="Times New Roman" w:hAnsi="Times New Roman"/>
    </w:rPr>
    <w:tblP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Pr>
    <w:tcPr>
      <w:vAlign w:val="center"/>
    </w:tcPr>
  </w:style>
  <w:style w:type="character" w:styleId="24">
    <w:name w:val="Strong"/>
    <w:qFormat/>
    <w:uiPriority w:val="22"/>
    <w:rPr>
      <w:b/>
      <w:bCs/>
    </w:rPr>
  </w:style>
  <w:style w:type="character" w:styleId="25">
    <w:name w:val="endnote reference"/>
    <w:qFormat/>
    <w:uiPriority w:val="0"/>
    <w:rPr>
      <w:vertAlign w:val="superscript"/>
    </w:rPr>
  </w:style>
  <w:style w:type="character" w:styleId="26">
    <w:name w:val="FollowedHyperlink"/>
    <w:unhideWhenUsed/>
    <w:qFormat/>
    <w:uiPriority w:val="99"/>
    <w:rPr>
      <w:color w:val="954F72"/>
      <w:u w:val="single"/>
    </w:rPr>
  </w:style>
  <w:style w:type="character" w:styleId="27">
    <w:name w:val="Emphasis"/>
    <w:qFormat/>
    <w:uiPriority w:val="20"/>
    <w:rPr>
      <w:i/>
      <w:iCs/>
    </w:rPr>
  </w:style>
  <w:style w:type="character" w:styleId="28">
    <w:name w:val="HTML Definition"/>
    <w:basedOn w:val="23"/>
    <w:unhideWhenUsed/>
    <w:qFormat/>
    <w:uiPriority w:val="99"/>
  </w:style>
  <w:style w:type="character" w:styleId="29">
    <w:name w:val="HTML Variable"/>
    <w:basedOn w:val="23"/>
    <w:unhideWhenUsed/>
    <w:qFormat/>
    <w:uiPriority w:val="99"/>
  </w:style>
  <w:style w:type="character" w:styleId="30">
    <w:name w:val="Hyperlink"/>
    <w:qFormat/>
    <w:uiPriority w:val="99"/>
    <w:rPr>
      <w:color w:val="0000FF"/>
      <w:u w:val="single"/>
    </w:rPr>
  </w:style>
  <w:style w:type="character" w:styleId="31">
    <w:name w:val="HTML Code"/>
    <w:unhideWhenUsed/>
    <w:qFormat/>
    <w:uiPriority w:val="99"/>
    <w:rPr>
      <w:rFonts w:ascii="Courier New" w:hAnsi="Courier New"/>
      <w:sz w:val="20"/>
    </w:rPr>
  </w:style>
  <w:style w:type="character" w:styleId="32">
    <w:name w:val="annotation reference"/>
    <w:unhideWhenUsed/>
    <w:qFormat/>
    <w:uiPriority w:val="99"/>
    <w:rPr>
      <w:sz w:val="21"/>
      <w:szCs w:val="21"/>
    </w:rPr>
  </w:style>
  <w:style w:type="character" w:styleId="33">
    <w:name w:val="HTML Cite"/>
    <w:basedOn w:val="23"/>
    <w:unhideWhenUsed/>
    <w:qFormat/>
    <w:uiPriority w:val="99"/>
  </w:style>
  <w:style w:type="character" w:styleId="34">
    <w:name w:val="footnote reference"/>
    <w:qFormat/>
    <w:uiPriority w:val="0"/>
    <w:rPr>
      <w:vertAlign w:val="superscript"/>
    </w:rPr>
  </w:style>
  <w:style w:type="character" w:customStyle="1" w:styleId="35">
    <w:name w:val="标题 1 字符"/>
    <w:link w:val="2"/>
    <w:qFormat/>
    <w:uiPriority w:val="9"/>
    <w:rPr>
      <w:rFonts w:ascii="Times New Roman" w:hAnsi="Times New Roman" w:eastAsia="宋体" w:cs="Times New Roman"/>
      <w:b/>
      <w:bCs/>
      <w:kern w:val="44"/>
      <w:sz w:val="44"/>
      <w:szCs w:val="44"/>
    </w:rPr>
  </w:style>
  <w:style w:type="character" w:customStyle="1" w:styleId="36">
    <w:name w:val="标题 2 字符"/>
    <w:link w:val="3"/>
    <w:qFormat/>
    <w:uiPriority w:val="0"/>
    <w:rPr>
      <w:rFonts w:ascii="黑体" w:hAnsi="Arial" w:eastAsia="黑体" w:cs="Times New Roman"/>
      <w:b/>
      <w:bCs/>
      <w:kern w:val="0"/>
      <w:sz w:val="28"/>
      <w:szCs w:val="28"/>
    </w:rPr>
  </w:style>
  <w:style w:type="character" w:customStyle="1" w:styleId="37">
    <w:name w:val="标题 3 字符"/>
    <w:link w:val="4"/>
    <w:qFormat/>
    <w:uiPriority w:val="0"/>
    <w:rPr>
      <w:rFonts w:ascii="Times New Roman" w:hAnsi="Times New Roman" w:eastAsia="宋体" w:cs="Times New Roman"/>
      <w:b/>
      <w:bCs/>
      <w:kern w:val="0"/>
      <w:sz w:val="32"/>
      <w:szCs w:val="32"/>
    </w:rPr>
  </w:style>
  <w:style w:type="character" w:customStyle="1" w:styleId="38">
    <w:name w:val="标题 4 字符"/>
    <w:link w:val="5"/>
    <w:qFormat/>
    <w:uiPriority w:val="9"/>
    <w:rPr>
      <w:rFonts w:ascii="Cambria" w:hAnsi="Cambria" w:eastAsia="宋体" w:cs="Times New Roman"/>
      <w:b/>
      <w:bCs/>
      <w:sz w:val="28"/>
      <w:szCs w:val="28"/>
    </w:rPr>
  </w:style>
  <w:style w:type="paragraph" w:styleId="39">
    <w:name w:val="No Spacing"/>
    <w:link w:val="40"/>
    <w:qFormat/>
    <w:uiPriority w:val="1"/>
    <w:rPr>
      <w:rFonts w:ascii="Calibri" w:hAnsi="Calibri" w:eastAsia="宋体" w:cs="Times New Roman"/>
      <w:sz w:val="22"/>
      <w:szCs w:val="22"/>
      <w:lang w:val="en-US" w:eastAsia="en-US" w:bidi="ar-SA"/>
    </w:rPr>
  </w:style>
  <w:style w:type="character" w:customStyle="1" w:styleId="40">
    <w:name w:val="无间隔 字符"/>
    <w:link w:val="39"/>
    <w:qFormat/>
    <w:uiPriority w:val="1"/>
    <w:rPr>
      <w:kern w:val="0"/>
      <w:sz w:val="22"/>
      <w:lang w:eastAsia="en-US"/>
    </w:rPr>
  </w:style>
  <w:style w:type="character" w:customStyle="1" w:styleId="41">
    <w:name w:val="批注框文本 字符"/>
    <w:link w:val="13"/>
    <w:semiHidden/>
    <w:qFormat/>
    <w:uiPriority w:val="99"/>
    <w:rPr>
      <w:sz w:val="18"/>
      <w:szCs w:val="18"/>
    </w:rPr>
  </w:style>
  <w:style w:type="character" w:customStyle="1" w:styleId="42">
    <w:name w:val="页眉 字符"/>
    <w:link w:val="15"/>
    <w:qFormat/>
    <w:uiPriority w:val="99"/>
    <w:rPr>
      <w:sz w:val="18"/>
      <w:szCs w:val="18"/>
    </w:rPr>
  </w:style>
  <w:style w:type="character" w:customStyle="1" w:styleId="43">
    <w:name w:val="页脚 字符"/>
    <w:link w:val="14"/>
    <w:qFormat/>
    <w:uiPriority w:val="99"/>
    <w:rPr>
      <w:sz w:val="18"/>
      <w:szCs w:val="18"/>
    </w:rPr>
  </w:style>
  <w:style w:type="character" w:customStyle="1" w:styleId="44">
    <w:name w:val="标题 1 Char"/>
    <w:link w:val="45"/>
    <w:qFormat/>
    <w:uiPriority w:val="0"/>
    <w:rPr>
      <w:b/>
      <w:bCs/>
      <w:kern w:val="44"/>
      <w:sz w:val="44"/>
      <w:szCs w:val="44"/>
    </w:rPr>
  </w:style>
  <w:style w:type="paragraph" w:customStyle="1" w:styleId="45">
    <w:name w:val="标题 11"/>
    <w:basedOn w:val="1"/>
    <w:next w:val="1"/>
    <w:link w:val="44"/>
    <w:qFormat/>
    <w:uiPriority w:val="0"/>
    <w:pPr>
      <w:keepNext/>
      <w:keepLines/>
      <w:spacing w:before="340" w:after="330" w:line="578" w:lineRule="auto"/>
      <w:outlineLvl w:val="0"/>
    </w:pPr>
    <w:rPr>
      <w:b/>
      <w:bCs/>
      <w:kern w:val="44"/>
      <w:sz w:val="44"/>
      <w:szCs w:val="44"/>
    </w:rPr>
  </w:style>
  <w:style w:type="character" w:customStyle="1" w:styleId="46">
    <w:name w:val="批注文字 字符"/>
    <w:basedOn w:val="23"/>
    <w:link w:val="7"/>
    <w:qFormat/>
    <w:uiPriority w:val="0"/>
  </w:style>
  <w:style w:type="character" w:customStyle="1" w:styleId="47">
    <w:name w:val="批注主题 字符"/>
    <w:link w:val="20"/>
    <w:qFormat/>
    <w:uiPriority w:val="99"/>
    <w:rPr>
      <w:rFonts w:ascii="Times New Roman" w:hAnsi="Times New Roman" w:eastAsia="宋体" w:cs="Times New Roman"/>
      <w:b/>
      <w:bCs/>
      <w:kern w:val="0"/>
      <w:sz w:val="20"/>
      <w:szCs w:val="24"/>
    </w:rPr>
  </w:style>
  <w:style w:type="character" w:customStyle="1" w:styleId="48">
    <w:name w:val="批注主题 Char"/>
    <w:link w:val="49"/>
    <w:semiHidden/>
    <w:qFormat/>
    <w:uiPriority w:val="0"/>
    <w:rPr>
      <w:b/>
      <w:bCs/>
    </w:rPr>
  </w:style>
  <w:style w:type="paragraph" w:customStyle="1" w:styleId="49">
    <w:name w:val="批注主题1"/>
    <w:basedOn w:val="7"/>
    <w:next w:val="7"/>
    <w:link w:val="48"/>
    <w:qFormat/>
    <w:uiPriority w:val="0"/>
    <w:rPr>
      <w:b/>
      <w:bCs/>
    </w:rPr>
  </w:style>
  <w:style w:type="character" w:customStyle="1" w:styleId="50">
    <w:name w:val="文档结构图 字符"/>
    <w:link w:val="6"/>
    <w:qFormat/>
    <w:uiPriority w:val="99"/>
    <w:rPr>
      <w:rFonts w:ascii="宋体" w:hAnsi="Times New Roman" w:eastAsia="宋体" w:cs="Times New Roman"/>
      <w:sz w:val="18"/>
      <w:szCs w:val="18"/>
    </w:rPr>
  </w:style>
  <w:style w:type="character" w:customStyle="1" w:styleId="51">
    <w:name w:val="文档结构图 Char"/>
    <w:link w:val="52"/>
    <w:semiHidden/>
    <w:qFormat/>
    <w:uiPriority w:val="0"/>
    <w:rPr>
      <w:rFonts w:ascii="宋体" w:eastAsia="宋体"/>
      <w:sz w:val="18"/>
      <w:szCs w:val="18"/>
    </w:rPr>
  </w:style>
  <w:style w:type="paragraph" w:customStyle="1" w:styleId="52">
    <w:name w:val="文档结构图1"/>
    <w:basedOn w:val="1"/>
    <w:link w:val="51"/>
    <w:qFormat/>
    <w:uiPriority w:val="0"/>
    <w:rPr>
      <w:rFonts w:ascii="宋体"/>
      <w:sz w:val="18"/>
      <w:szCs w:val="18"/>
    </w:rPr>
  </w:style>
  <w:style w:type="character" w:customStyle="1" w:styleId="53">
    <w:name w:val="正文文本 字符"/>
    <w:link w:val="8"/>
    <w:qFormat/>
    <w:uiPriority w:val="1"/>
    <w:rPr>
      <w:rFonts w:ascii="宋体" w:hAnsi="宋体" w:eastAsia="宋体"/>
      <w:kern w:val="0"/>
      <w:sz w:val="30"/>
      <w:szCs w:val="30"/>
      <w:lang w:eastAsia="en-US"/>
    </w:rPr>
  </w:style>
  <w:style w:type="character" w:customStyle="1" w:styleId="54">
    <w:name w:val="纯文本 字符"/>
    <w:link w:val="10"/>
    <w:qFormat/>
    <w:uiPriority w:val="0"/>
    <w:rPr>
      <w:rFonts w:ascii="宋体" w:hAnsi="Courier New" w:eastAsia="宋体" w:cs="Times New Roman"/>
      <w:szCs w:val="20"/>
    </w:rPr>
  </w:style>
  <w:style w:type="character" w:customStyle="1" w:styleId="55">
    <w:name w:val="日期 字符"/>
    <w:link w:val="11"/>
    <w:qFormat/>
    <w:uiPriority w:val="99"/>
    <w:rPr>
      <w:rFonts w:ascii="Times New Roman" w:hAnsi="Times New Roman" w:eastAsia="宋体" w:cs="Times New Roman"/>
      <w:szCs w:val="24"/>
    </w:rPr>
  </w:style>
  <w:style w:type="character" w:customStyle="1" w:styleId="56">
    <w:name w:val="日期 Char"/>
    <w:basedOn w:val="23"/>
    <w:link w:val="57"/>
    <w:semiHidden/>
    <w:qFormat/>
    <w:uiPriority w:val="0"/>
  </w:style>
  <w:style w:type="paragraph" w:customStyle="1" w:styleId="57">
    <w:name w:val="日期1"/>
    <w:basedOn w:val="1"/>
    <w:next w:val="1"/>
    <w:link w:val="56"/>
    <w:qFormat/>
    <w:uiPriority w:val="0"/>
    <w:pPr>
      <w:ind w:left="100" w:leftChars="2500"/>
    </w:pPr>
  </w:style>
  <w:style w:type="character" w:customStyle="1" w:styleId="58">
    <w:name w:val="尾注文本 字符"/>
    <w:link w:val="12"/>
    <w:qFormat/>
    <w:uiPriority w:val="0"/>
    <w:rPr>
      <w:rFonts w:ascii="Times New Roman" w:hAnsi="Times New Roman" w:eastAsia="宋体" w:cs="Times New Roman"/>
      <w:kern w:val="0"/>
      <w:sz w:val="20"/>
      <w:szCs w:val="24"/>
    </w:rPr>
  </w:style>
  <w:style w:type="character" w:customStyle="1" w:styleId="59">
    <w:name w:val="脚注文本 字符"/>
    <w:link w:val="17"/>
    <w:qFormat/>
    <w:uiPriority w:val="0"/>
    <w:rPr>
      <w:rFonts w:ascii="Times New Roman" w:hAnsi="Times New Roman" w:eastAsia="宋体" w:cs="Times New Roman"/>
      <w:kern w:val="0"/>
      <w:sz w:val="18"/>
      <w:szCs w:val="18"/>
    </w:rPr>
  </w:style>
  <w:style w:type="character" w:customStyle="1" w:styleId="60">
    <w:name w:val="HTML 预设格式 Char"/>
    <w:link w:val="61"/>
    <w:qFormat/>
    <w:uiPriority w:val="0"/>
    <w:rPr>
      <w:rFonts w:ascii="Courier New" w:hAnsi="Courier New" w:eastAsia="Times New Roman" w:cs="Courier New"/>
      <w:kern w:val="0"/>
      <w:sz w:val="20"/>
      <w:szCs w:val="20"/>
    </w:rPr>
  </w:style>
  <w:style w:type="paragraph" w:customStyle="1" w:styleId="61">
    <w:name w:val="HTML 预设格式1"/>
    <w:basedOn w:val="1"/>
    <w:link w:val="6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eastAsia="Times New Roman" w:cs="Courier New"/>
      <w:kern w:val="0"/>
      <w:sz w:val="20"/>
      <w:szCs w:val="20"/>
    </w:rPr>
  </w:style>
  <w:style w:type="paragraph" w:customStyle="1" w:styleId="62">
    <w:name w:val="批注框文本 Char Char"/>
    <w:basedOn w:val="1"/>
    <w:link w:val="63"/>
    <w:qFormat/>
    <w:uiPriority w:val="0"/>
    <w:rPr>
      <w:rFonts w:ascii="Times New Roman" w:hAnsi="Times New Roman"/>
      <w:sz w:val="16"/>
      <w:szCs w:val="16"/>
    </w:rPr>
  </w:style>
  <w:style w:type="character" w:customStyle="1" w:styleId="63">
    <w:name w:val="批注框文本 Char Char Char Char"/>
    <w:link w:val="62"/>
    <w:qFormat/>
    <w:uiPriority w:val="0"/>
    <w:rPr>
      <w:rFonts w:ascii="Times New Roman" w:hAnsi="Times New Roman" w:eastAsia="宋体" w:cs="Times New Roman"/>
      <w:sz w:val="16"/>
      <w:szCs w:val="16"/>
    </w:rPr>
  </w:style>
  <w:style w:type="paragraph" w:customStyle="1" w:styleId="64">
    <w:name w:val="HTML 地址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5">
    <w:name w:val="联证标题1"/>
    <w:basedOn w:val="45"/>
    <w:link w:val="66"/>
    <w:qFormat/>
    <w:uiPriority w:val="0"/>
    <w:pPr>
      <w:spacing w:beforeLines="50" w:afterLines="50" w:line="240" w:lineRule="auto"/>
      <w:ind w:right="-57"/>
    </w:pPr>
    <w:rPr>
      <w:rFonts w:ascii="Arial" w:hAnsi="Arial" w:eastAsia="黑体"/>
      <w:sz w:val="28"/>
      <w:szCs w:val="28"/>
    </w:rPr>
  </w:style>
  <w:style w:type="character" w:customStyle="1" w:styleId="66">
    <w:name w:val="联证标题1 Char Char"/>
    <w:link w:val="65"/>
    <w:qFormat/>
    <w:uiPriority w:val="0"/>
    <w:rPr>
      <w:rFonts w:ascii="Arial" w:hAnsi="Arial" w:eastAsia="黑体"/>
      <w:b/>
      <w:bCs/>
      <w:kern w:val="44"/>
      <w:sz w:val="28"/>
      <w:szCs w:val="28"/>
    </w:rPr>
  </w:style>
  <w:style w:type="paragraph" w:customStyle="1" w:styleId="67">
    <w:name w:val="联证标题2"/>
    <w:basedOn w:val="3"/>
    <w:qFormat/>
    <w:uiPriority w:val="0"/>
    <w:pPr>
      <w:spacing w:beforeLines="50" w:afterLines="50" w:line="240" w:lineRule="auto"/>
    </w:pPr>
    <w:rPr>
      <w:rFonts w:eastAsia="楷体_GB2312"/>
      <w:color w:val="333399"/>
      <w:sz w:val="24"/>
      <w:szCs w:val="24"/>
    </w:rPr>
  </w:style>
  <w:style w:type="paragraph" w:customStyle="1" w:styleId="68">
    <w:name w:val="联证标题3"/>
    <w:basedOn w:val="4"/>
    <w:qFormat/>
    <w:uiPriority w:val="0"/>
    <w:pPr>
      <w:spacing w:beforeLines="50" w:afterLines="50" w:line="240" w:lineRule="auto"/>
    </w:pPr>
    <w:rPr>
      <w:rFonts w:ascii="Arial" w:hAnsi="Arial" w:eastAsia="楷体_GB2312"/>
      <w:sz w:val="21"/>
      <w:szCs w:val="21"/>
    </w:rPr>
  </w:style>
  <w:style w:type="paragraph" w:customStyle="1" w:styleId="69">
    <w:name w:val="联证标题4"/>
    <w:basedOn w:val="1"/>
    <w:qFormat/>
    <w:uiPriority w:val="0"/>
    <w:pPr>
      <w:keepNext/>
      <w:keepLines/>
      <w:spacing w:beforeLines="50" w:afterLines="50"/>
      <w:ind w:firstLine="420"/>
      <w:outlineLvl w:val="2"/>
    </w:pPr>
    <w:rPr>
      <w:rFonts w:ascii="Arial" w:hAnsi="Arial" w:eastAsia="楷体_GB2312"/>
      <w:b/>
      <w:bCs/>
      <w:i/>
      <w:sz w:val="20"/>
      <w:szCs w:val="20"/>
    </w:rPr>
  </w:style>
  <w:style w:type="paragraph" w:customStyle="1" w:styleId="70">
    <w:name w:val="首页股价"/>
    <w:basedOn w:val="1"/>
    <w:qFormat/>
    <w:uiPriority w:val="0"/>
    <w:pPr>
      <w:snapToGrid w:val="0"/>
      <w:ind w:left="-105" w:leftChars="-50" w:right="-105" w:rightChars="-50"/>
    </w:pPr>
    <w:rPr>
      <w:rFonts w:ascii="Arial" w:hAnsi="Arial" w:eastAsia="黑体" w:cs="Arial"/>
      <w:b/>
      <w:szCs w:val="21"/>
    </w:rPr>
  </w:style>
  <w:style w:type="paragraph" w:customStyle="1" w:styleId="71">
    <w:name w:val="联证正文"/>
    <w:basedOn w:val="1"/>
    <w:qFormat/>
    <w:uiPriority w:val="0"/>
    <w:pPr>
      <w:spacing w:afterLines="50"/>
      <w:ind w:firstLine="414" w:firstLineChars="197"/>
    </w:pPr>
    <w:rPr>
      <w:rFonts w:ascii="宋体"/>
      <w:i/>
      <w:szCs w:val="21"/>
    </w:rPr>
  </w:style>
  <w:style w:type="paragraph" w:customStyle="1" w:styleId="72">
    <w:name w:val="首页前次评级"/>
    <w:basedOn w:val="1"/>
    <w:qFormat/>
    <w:uiPriority w:val="0"/>
    <w:pPr>
      <w:jc w:val="right"/>
    </w:pPr>
    <w:rPr>
      <w:rFonts w:ascii="Arial" w:hAnsi="Arial" w:eastAsia="黑体"/>
      <w:b/>
      <w:sz w:val="18"/>
      <w:szCs w:val="18"/>
    </w:rPr>
  </w:style>
  <w:style w:type="paragraph" w:customStyle="1" w:styleId="73">
    <w:name w:val="首页要点"/>
    <w:basedOn w:val="1"/>
    <w:qFormat/>
    <w:uiPriority w:val="0"/>
    <w:pPr>
      <w:tabs>
        <w:tab w:val="left" w:pos="471"/>
      </w:tabs>
      <w:spacing w:beforeLines="50"/>
      <w:ind w:left="471" w:hanging="284"/>
    </w:pPr>
    <w:rPr>
      <w:rFonts w:ascii="Arial" w:hAnsi="Arial" w:eastAsia="楷体_GB2312"/>
      <w:szCs w:val="21"/>
    </w:rPr>
  </w:style>
  <w:style w:type="paragraph" w:customStyle="1" w:styleId="74">
    <w:name w:val="相关研究"/>
    <w:basedOn w:val="1"/>
    <w:qFormat/>
    <w:uiPriority w:val="0"/>
    <w:pPr>
      <w:ind w:left="-107" w:leftChars="-51"/>
    </w:pPr>
    <w:rPr>
      <w:rFonts w:ascii="Arial" w:hAnsi="Arial" w:cs="Arial"/>
      <w:sz w:val="15"/>
      <w:szCs w:val="18"/>
    </w:rPr>
  </w:style>
  <w:style w:type="paragraph" w:customStyle="1" w:styleId="75">
    <w:name w:val="正文要点"/>
    <w:basedOn w:val="1"/>
    <w:qFormat/>
    <w:uiPriority w:val="0"/>
    <w:pPr>
      <w:tabs>
        <w:tab w:val="left" w:pos="360"/>
      </w:tabs>
      <w:spacing w:beforeLines="50" w:afterLines="50"/>
    </w:pPr>
    <w:rPr>
      <w:rFonts w:ascii="Arial" w:hAnsi="Arial" w:eastAsia="楷体_GB2312"/>
      <w:szCs w:val="21"/>
    </w:rPr>
  </w:style>
  <w:style w:type="paragraph" w:customStyle="1" w:styleId="76">
    <w:name w:val="正文左栏要点"/>
    <w:basedOn w:val="1"/>
    <w:qFormat/>
    <w:uiPriority w:val="0"/>
    <w:rPr>
      <w:rFonts w:ascii="Arial" w:hAnsi="Arial" w:eastAsia="楷体_GB2312" w:cs="Arial"/>
      <w:b/>
      <w:szCs w:val="21"/>
    </w:rPr>
  </w:style>
  <w:style w:type="paragraph" w:customStyle="1" w:styleId="77">
    <w:name w:val="首页数据"/>
    <w:basedOn w:val="1"/>
    <w:qFormat/>
    <w:uiPriority w:val="0"/>
    <w:pPr>
      <w:jc w:val="right"/>
    </w:pPr>
    <w:rPr>
      <w:rFonts w:ascii="Arial" w:hAnsi="Arial" w:cs="Arial"/>
      <w:sz w:val="15"/>
      <w:szCs w:val="15"/>
    </w:rPr>
  </w:style>
  <w:style w:type="paragraph" w:customStyle="1" w:styleId="78">
    <w:name w:val="报告标题"/>
    <w:basedOn w:val="1"/>
    <w:qFormat/>
    <w:uiPriority w:val="0"/>
    <w:pPr>
      <w:jc w:val="center"/>
    </w:pPr>
    <w:rPr>
      <w:rFonts w:ascii="楷体_GB2312" w:hAnsi="Times New Roman" w:eastAsia="楷体_GB2312"/>
      <w:b/>
      <w:sz w:val="44"/>
      <w:szCs w:val="44"/>
    </w:rPr>
  </w:style>
  <w:style w:type="paragraph" w:customStyle="1" w:styleId="79">
    <w:name w:val="报告副标题"/>
    <w:basedOn w:val="1"/>
    <w:qFormat/>
    <w:uiPriority w:val="0"/>
    <w:pPr>
      <w:jc w:val="center"/>
    </w:pPr>
    <w:rPr>
      <w:rFonts w:ascii="楷体_GB2312" w:hAnsi="Times New Roman" w:eastAsia="楷体_GB2312"/>
      <w:b/>
      <w:sz w:val="30"/>
      <w:szCs w:val="30"/>
    </w:rPr>
  </w:style>
  <w:style w:type="paragraph" w:customStyle="1" w:styleId="80">
    <w:name w:val="股票代码与评级"/>
    <w:basedOn w:val="1"/>
    <w:qFormat/>
    <w:uiPriority w:val="0"/>
    <w:pPr>
      <w:spacing w:beforeLines="20"/>
      <w:ind w:left="-50" w:leftChars="-50"/>
    </w:pPr>
    <w:rPr>
      <w:rFonts w:ascii="Arial" w:hAnsi="Arial" w:eastAsia="楷体_GB2312" w:cs="Arial"/>
      <w:b/>
      <w:sz w:val="24"/>
      <w:szCs w:val="24"/>
    </w:rPr>
  </w:style>
  <w:style w:type="paragraph" w:customStyle="1" w:styleId="81">
    <w:name w:val="股票名称"/>
    <w:basedOn w:val="1"/>
    <w:qFormat/>
    <w:uiPriority w:val="0"/>
    <w:pPr>
      <w:spacing w:line="300" w:lineRule="auto"/>
      <w:ind w:left="-105" w:leftChars="-50"/>
    </w:pPr>
    <w:rPr>
      <w:rFonts w:ascii="Arial" w:hAnsi="Arial" w:eastAsia="楷体_GB2312" w:cs="Arial"/>
      <w:b/>
      <w:sz w:val="36"/>
      <w:szCs w:val="36"/>
    </w:rPr>
  </w:style>
  <w:style w:type="paragraph" w:customStyle="1" w:styleId="82">
    <w:name w:val="联证目录"/>
    <w:basedOn w:val="16"/>
    <w:qFormat/>
    <w:uiPriority w:val="0"/>
    <w:pPr>
      <w:tabs>
        <w:tab w:val="right" w:leader="dot" w:pos="7010"/>
        <w:tab w:val="clear" w:pos="6482"/>
      </w:tabs>
      <w:spacing w:beforeLines="50"/>
    </w:pPr>
    <w:rPr>
      <w:b w:val="0"/>
    </w:rPr>
  </w:style>
  <w:style w:type="paragraph" w:customStyle="1" w:styleId="83">
    <w:name w:val="一级标题"/>
    <w:basedOn w:val="65"/>
    <w:link w:val="84"/>
    <w:qFormat/>
    <w:uiPriority w:val="0"/>
    <w:pPr>
      <w:spacing w:before="156" w:after="156"/>
    </w:pPr>
    <w:rPr>
      <w:rFonts w:ascii="Calibri" w:eastAsia="宋体"/>
    </w:rPr>
  </w:style>
  <w:style w:type="character" w:customStyle="1" w:styleId="84">
    <w:name w:val="一级标题 Char Char"/>
    <w:link w:val="83"/>
    <w:qFormat/>
    <w:uiPriority w:val="0"/>
    <w:rPr>
      <w:rFonts w:ascii="Calibri" w:hAnsi="Arial" w:eastAsia="宋体"/>
      <w:b/>
      <w:bCs/>
      <w:kern w:val="44"/>
      <w:sz w:val="28"/>
      <w:szCs w:val="28"/>
    </w:rPr>
  </w:style>
  <w:style w:type="paragraph" w:customStyle="1" w:styleId="85">
    <w:name w:val="列出段落1"/>
    <w:basedOn w:val="1"/>
    <w:qFormat/>
    <w:uiPriority w:val="0"/>
    <w:pPr>
      <w:ind w:firstLine="420" w:firstLineChars="200"/>
    </w:pPr>
    <w:rPr>
      <w:rFonts w:ascii="Times New Roman" w:hAnsi="Times New Roman"/>
      <w:szCs w:val="24"/>
    </w:rPr>
  </w:style>
  <w:style w:type="paragraph" w:customStyle="1" w:styleId="86">
    <w:name w:val="定价标题2"/>
    <w:basedOn w:val="83"/>
    <w:link w:val="87"/>
    <w:qFormat/>
    <w:uiPriority w:val="0"/>
    <w:pPr>
      <w:spacing w:line="400" w:lineRule="exact"/>
    </w:pPr>
    <w:rPr>
      <w:rFonts w:ascii="宋体" w:hAnsi="宋体"/>
      <w:sz w:val="24"/>
      <w:szCs w:val="24"/>
    </w:rPr>
  </w:style>
  <w:style w:type="character" w:customStyle="1" w:styleId="87">
    <w:name w:val="定价标题2 Char Char"/>
    <w:link w:val="86"/>
    <w:qFormat/>
    <w:uiPriority w:val="0"/>
    <w:rPr>
      <w:rFonts w:ascii="宋体" w:hAnsi="宋体" w:eastAsia="宋体"/>
      <w:b/>
      <w:bCs/>
      <w:kern w:val="44"/>
      <w:sz w:val="24"/>
      <w:szCs w:val="24"/>
    </w:rPr>
  </w:style>
  <w:style w:type="paragraph" w:customStyle="1" w:styleId="88">
    <w:name w:val="定价一级标题"/>
    <w:basedOn w:val="83"/>
    <w:link w:val="89"/>
    <w:qFormat/>
    <w:uiPriority w:val="0"/>
  </w:style>
  <w:style w:type="character" w:customStyle="1" w:styleId="89">
    <w:name w:val="定价一级标题 Char Char"/>
    <w:link w:val="88"/>
    <w:qFormat/>
    <w:uiPriority w:val="0"/>
    <w:rPr>
      <w:rFonts w:ascii="Calibri" w:hAnsi="Arial" w:eastAsia="宋体"/>
      <w:b/>
      <w:bCs/>
      <w:kern w:val="44"/>
      <w:sz w:val="28"/>
      <w:szCs w:val="28"/>
    </w:rPr>
  </w:style>
  <w:style w:type="paragraph" w:customStyle="1" w:styleId="90">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92">
    <w:name w:val="修订1"/>
    <w:qFormat/>
    <w:uiPriority w:val="0"/>
    <w:rPr>
      <w:rFonts w:ascii="Times New Roman" w:hAnsi="Times New Roman" w:eastAsia="宋体" w:cs="Calibri"/>
      <w:kern w:val="2"/>
      <w:sz w:val="21"/>
      <w:szCs w:val="24"/>
      <w:lang w:val="en-US" w:eastAsia="zh-CN" w:bidi="ar-SA"/>
    </w:rPr>
  </w:style>
  <w:style w:type="paragraph" w:customStyle="1" w:styleId="93">
    <w:name w:val="正文不空格"/>
    <w:basedOn w:val="1"/>
    <w:link w:val="94"/>
    <w:qFormat/>
    <w:uiPriority w:val="0"/>
    <w:rPr>
      <w:rFonts w:ascii="Times New Roman" w:hAnsi="宋体"/>
      <w:kern w:val="0"/>
      <w:sz w:val="24"/>
      <w:szCs w:val="24"/>
    </w:rPr>
  </w:style>
  <w:style w:type="character" w:customStyle="1" w:styleId="94">
    <w:name w:val="正文不空格 Char Char"/>
    <w:link w:val="93"/>
    <w:qFormat/>
    <w:uiPriority w:val="0"/>
    <w:rPr>
      <w:rFonts w:ascii="Times New Roman" w:hAnsi="宋体" w:eastAsia="宋体" w:cs="Times New Roman"/>
      <w:kern w:val="0"/>
      <w:sz w:val="24"/>
      <w:szCs w:val="24"/>
    </w:rPr>
  </w:style>
  <w:style w:type="paragraph" w:customStyle="1" w:styleId="95">
    <w:name w:val="TOC 标题1"/>
    <w:basedOn w:val="45"/>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96">
    <w:name w:val="Char Char Char Char Char Char Char Char Char Char Char Char Char"/>
    <w:basedOn w:val="1"/>
    <w:qFormat/>
    <w:uiPriority w:val="0"/>
    <w:rPr>
      <w:rFonts w:ascii="Times New Roman" w:hAnsi="Times New Roman"/>
      <w:szCs w:val="20"/>
    </w:rPr>
  </w:style>
  <w:style w:type="paragraph" w:customStyle="1" w:styleId="97">
    <w:name w:val="p0"/>
    <w:basedOn w:val="1"/>
    <w:qFormat/>
    <w:uiPriority w:val="0"/>
    <w:pPr>
      <w:widowControl/>
    </w:pPr>
    <w:rPr>
      <w:rFonts w:ascii="Times New Roman" w:hAnsi="Times New Roman"/>
      <w:kern w:val="0"/>
      <w:szCs w:val="21"/>
    </w:rPr>
  </w:style>
  <w:style w:type="paragraph" w:customStyle="1" w:styleId="98">
    <w:name w:val="p15"/>
    <w:basedOn w:val="1"/>
    <w:qFormat/>
    <w:uiPriority w:val="0"/>
    <w:pPr>
      <w:widowControl/>
      <w:ind w:firstLine="420"/>
    </w:pPr>
    <w:rPr>
      <w:rFonts w:ascii="Times New Roman" w:hAnsi="Times New Roman"/>
      <w:kern w:val="0"/>
      <w:szCs w:val="21"/>
    </w:rPr>
  </w:style>
  <w:style w:type="paragraph" w:customStyle="1" w:styleId="99">
    <w:name w:val="批注主题2"/>
    <w:basedOn w:val="7"/>
    <w:next w:val="7"/>
    <w:link w:val="100"/>
    <w:qFormat/>
    <w:uiPriority w:val="0"/>
    <w:rPr>
      <w:rFonts w:ascii="Times New Roman" w:hAnsi="Times New Roman"/>
      <w:b/>
      <w:bCs/>
      <w:szCs w:val="24"/>
    </w:rPr>
  </w:style>
  <w:style w:type="character" w:customStyle="1" w:styleId="100">
    <w:name w:val="批注主题 Char1"/>
    <w:link w:val="99"/>
    <w:qFormat/>
    <w:uiPriority w:val="0"/>
    <w:rPr>
      <w:rFonts w:ascii="Times New Roman" w:hAnsi="Times New Roman" w:eastAsia="宋体" w:cs="Times New Roman"/>
      <w:b/>
      <w:bCs/>
      <w:szCs w:val="24"/>
    </w:rPr>
  </w:style>
  <w:style w:type="paragraph" w:customStyle="1" w:styleId="101">
    <w:name w:val="font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02">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3">
    <w:name w:val="font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04">
    <w:name w:val="font8"/>
    <w:basedOn w:val="1"/>
    <w:qFormat/>
    <w:uiPriority w:val="0"/>
    <w:pPr>
      <w:widowControl/>
      <w:spacing w:before="100" w:beforeAutospacing="1" w:after="100" w:afterAutospacing="1"/>
      <w:jc w:val="left"/>
    </w:pPr>
    <w:rPr>
      <w:rFonts w:ascii="宋体" w:hAnsi="宋体" w:cs="宋体"/>
      <w:b/>
      <w:bCs/>
      <w:color w:val="FFFFFF"/>
      <w:kern w:val="0"/>
      <w:sz w:val="20"/>
      <w:szCs w:val="20"/>
    </w:rPr>
  </w:style>
  <w:style w:type="paragraph" w:customStyle="1" w:styleId="105">
    <w:name w:val="font9"/>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106">
    <w:name w:val="font10"/>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107">
    <w:name w:val="xl358"/>
    <w:basedOn w:val="1"/>
    <w:qFormat/>
    <w:uiPriority w:val="0"/>
    <w:pPr>
      <w:widowControl/>
      <w:pBdr>
        <w:top w:val="single" w:color="C00000" w:sz="8" w:space="0"/>
        <w:left w:val="single" w:color="C00000" w:sz="8" w:space="0"/>
        <w:bottom w:val="single" w:color="C00000" w:sz="8" w:space="0"/>
        <w:right w:val="single" w:color="C00000" w:sz="8" w:space="0"/>
      </w:pBdr>
      <w:shd w:val="clear" w:color="000000" w:fill="C00000"/>
      <w:spacing w:before="100" w:beforeAutospacing="1" w:after="100" w:afterAutospacing="1"/>
      <w:jc w:val="center"/>
    </w:pPr>
    <w:rPr>
      <w:rFonts w:ascii="Times New Roman" w:hAnsi="Times New Roman"/>
      <w:b/>
      <w:bCs/>
      <w:color w:val="FFFFFF"/>
      <w:kern w:val="0"/>
      <w:sz w:val="20"/>
      <w:szCs w:val="20"/>
    </w:rPr>
  </w:style>
  <w:style w:type="paragraph" w:customStyle="1" w:styleId="108">
    <w:name w:val="xl359"/>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09">
    <w:name w:val="xl360"/>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10">
    <w:name w:val="xl361"/>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11">
    <w:name w:val="xl362"/>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12">
    <w:name w:val="xl363"/>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kern w:val="0"/>
      <w:sz w:val="20"/>
      <w:szCs w:val="20"/>
    </w:rPr>
  </w:style>
  <w:style w:type="paragraph" w:customStyle="1" w:styleId="113">
    <w:name w:val="xl364"/>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kern w:val="0"/>
      <w:sz w:val="20"/>
      <w:szCs w:val="20"/>
    </w:rPr>
  </w:style>
  <w:style w:type="paragraph" w:customStyle="1" w:styleId="114">
    <w:name w:val="xl365"/>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kern w:val="0"/>
      <w:sz w:val="20"/>
      <w:szCs w:val="20"/>
    </w:rPr>
  </w:style>
  <w:style w:type="paragraph" w:customStyle="1" w:styleId="115">
    <w:name w:val="xl366"/>
    <w:basedOn w:val="1"/>
    <w:qFormat/>
    <w:uiPriority w:val="0"/>
    <w:pPr>
      <w:widowControl/>
      <w:spacing w:before="100" w:beforeAutospacing="1" w:after="100" w:afterAutospacing="1"/>
      <w:jc w:val="left"/>
    </w:pPr>
    <w:rPr>
      <w:rFonts w:ascii="Times New Roman" w:hAnsi="Times New Roman"/>
      <w:kern w:val="0"/>
      <w:sz w:val="20"/>
      <w:szCs w:val="20"/>
    </w:rPr>
  </w:style>
  <w:style w:type="paragraph" w:customStyle="1" w:styleId="116">
    <w:name w:val="xl367"/>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left"/>
    </w:pPr>
    <w:rPr>
      <w:rFonts w:ascii="Times New Roman" w:hAnsi="Times New Roman"/>
      <w:kern w:val="0"/>
      <w:sz w:val="20"/>
      <w:szCs w:val="20"/>
    </w:rPr>
  </w:style>
  <w:style w:type="paragraph" w:customStyle="1" w:styleId="117">
    <w:name w:val="xl368"/>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kern w:val="0"/>
      <w:sz w:val="20"/>
      <w:szCs w:val="20"/>
    </w:rPr>
  </w:style>
  <w:style w:type="paragraph" w:customStyle="1" w:styleId="118">
    <w:name w:val="xl369"/>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left"/>
    </w:pPr>
    <w:rPr>
      <w:rFonts w:ascii="Times New Roman" w:hAnsi="Times New Roman"/>
      <w:kern w:val="0"/>
      <w:sz w:val="20"/>
      <w:szCs w:val="20"/>
    </w:rPr>
  </w:style>
  <w:style w:type="paragraph" w:customStyle="1" w:styleId="119">
    <w:name w:val="xl370"/>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left"/>
    </w:pPr>
    <w:rPr>
      <w:rFonts w:ascii="Times New Roman" w:hAnsi="Times New Roman"/>
      <w:kern w:val="0"/>
      <w:sz w:val="20"/>
      <w:szCs w:val="20"/>
    </w:rPr>
  </w:style>
  <w:style w:type="paragraph" w:customStyle="1" w:styleId="120">
    <w:name w:val="xl371"/>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宋体" w:hAnsi="宋体" w:cs="宋体"/>
      <w:color w:val="000000"/>
      <w:kern w:val="0"/>
      <w:sz w:val="20"/>
      <w:szCs w:val="20"/>
    </w:rPr>
  </w:style>
  <w:style w:type="paragraph" w:customStyle="1" w:styleId="121">
    <w:name w:val="列出段落2"/>
    <w:basedOn w:val="1"/>
    <w:qFormat/>
    <w:uiPriority w:val="34"/>
    <w:pPr>
      <w:ind w:firstLine="420" w:firstLineChars="200"/>
    </w:pPr>
    <w:rPr>
      <w:rFonts w:ascii="Times New Roman" w:hAnsi="Times New Roman"/>
      <w:szCs w:val="24"/>
    </w:rPr>
  </w:style>
  <w:style w:type="paragraph" w:customStyle="1" w:styleId="122">
    <w:name w:val="xl372"/>
    <w:basedOn w:val="1"/>
    <w:qFormat/>
    <w:uiPriority w:val="0"/>
    <w:pPr>
      <w:widowControl/>
      <w:pBdr>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23">
    <w:name w:val="xl373"/>
    <w:basedOn w:val="1"/>
    <w:qFormat/>
    <w:uiPriority w:val="0"/>
    <w:pPr>
      <w:widowControl/>
      <w:pBdr>
        <w:bottom w:val="single" w:color="C00000" w:sz="8" w:space="0"/>
        <w:right w:val="single" w:color="C00000" w:sz="8" w:space="0"/>
      </w:pBdr>
      <w:spacing w:before="100" w:beforeAutospacing="1" w:after="100" w:afterAutospacing="1"/>
      <w:jc w:val="left"/>
    </w:pPr>
    <w:rPr>
      <w:rFonts w:ascii="宋体" w:hAnsi="宋体" w:cs="宋体"/>
      <w:color w:val="000000"/>
      <w:kern w:val="0"/>
      <w:sz w:val="20"/>
      <w:szCs w:val="20"/>
    </w:rPr>
  </w:style>
  <w:style w:type="paragraph" w:customStyle="1" w:styleId="124">
    <w:name w:val="xl374"/>
    <w:basedOn w:val="1"/>
    <w:qFormat/>
    <w:uiPriority w:val="0"/>
    <w:pPr>
      <w:widowControl/>
      <w:pBdr>
        <w:bottom w:val="single" w:color="C00000" w:sz="8" w:space="0"/>
        <w:right w:val="single" w:color="C00000" w:sz="8" w:space="0"/>
      </w:pBdr>
      <w:spacing w:before="100" w:beforeAutospacing="1" w:after="100" w:afterAutospacing="1"/>
      <w:jc w:val="left"/>
    </w:pPr>
    <w:rPr>
      <w:rFonts w:ascii="Times New Roman" w:hAnsi="Times New Roman"/>
      <w:color w:val="000000"/>
      <w:kern w:val="0"/>
      <w:sz w:val="20"/>
      <w:szCs w:val="20"/>
    </w:rPr>
  </w:style>
  <w:style w:type="paragraph" w:customStyle="1" w:styleId="125">
    <w:name w:val="xl375"/>
    <w:basedOn w:val="1"/>
    <w:qFormat/>
    <w:uiPriority w:val="0"/>
    <w:pPr>
      <w:widowControl/>
      <w:pBdr>
        <w:bottom w:val="single" w:color="C00000" w:sz="8" w:space="0"/>
        <w:right w:val="single" w:color="C00000" w:sz="8" w:space="0"/>
      </w:pBdr>
      <w:spacing w:before="100" w:beforeAutospacing="1" w:after="100" w:afterAutospacing="1"/>
    </w:pPr>
    <w:rPr>
      <w:rFonts w:ascii="宋体" w:hAnsi="宋体" w:cs="宋体"/>
      <w:color w:val="000000"/>
      <w:kern w:val="0"/>
      <w:sz w:val="20"/>
      <w:szCs w:val="20"/>
    </w:rPr>
  </w:style>
  <w:style w:type="paragraph" w:customStyle="1" w:styleId="126">
    <w:name w:val="xl376"/>
    <w:basedOn w:val="1"/>
    <w:qFormat/>
    <w:uiPriority w:val="0"/>
    <w:pPr>
      <w:widowControl/>
      <w:pBdr>
        <w:bottom w:val="single" w:color="C00000" w:sz="8" w:space="0"/>
        <w:right w:val="single" w:color="C00000" w:sz="8" w:space="0"/>
      </w:pBdr>
      <w:spacing w:before="100" w:beforeAutospacing="1" w:after="100" w:afterAutospacing="1"/>
      <w:jc w:val="center"/>
    </w:pPr>
    <w:rPr>
      <w:rFonts w:ascii="宋体" w:hAnsi="宋体" w:cs="宋体"/>
      <w:color w:val="000000"/>
      <w:kern w:val="0"/>
      <w:sz w:val="20"/>
      <w:szCs w:val="20"/>
    </w:rPr>
  </w:style>
  <w:style w:type="paragraph" w:customStyle="1" w:styleId="127">
    <w:name w:val="xl377"/>
    <w:basedOn w:val="1"/>
    <w:qFormat/>
    <w:uiPriority w:val="0"/>
    <w:pPr>
      <w:widowControl/>
      <w:pBdr>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28">
    <w:name w:val="xl378"/>
    <w:basedOn w:val="1"/>
    <w:qFormat/>
    <w:uiPriority w:val="0"/>
    <w:pPr>
      <w:widowControl/>
      <w:pBdr>
        <w:top w:val="single" w:color="C00000" w:sz="8" w:space="0"/>
        <w:left w:val="single" w:color="C00000" w:sz="8" w:space="0"/>
        <w:right w:val="single" w:color="C00000" w:sz="8" w:space="0"/>
      </w:pBdr>
      <w:shd w:val="clear" w:color="000000" w:fill="C00000"/>
      <w:spacing w:before="100" w:beforeAutospacing="1" w:after="100" w:afterAutospacing="1"/>
      <w:jc w:val="center"/>
    </w:pPr>
    <w:rPr>
      <w:rFonts w:ascii="宋体" w:hAnsi="宋体" w:cs="宋体"/>
      <w:b/>
      <w:bCs/>
      <w:color w:val="FFFFFF"/>
      <w:kern w:val="0"/>
      <w:sz w:val="20"/>
      <w:szCs w:val="20"/>
    </w:rPr>
  </w:style>
  <w:style w:type="paragraph" w:customStyle="1" w:styleId="129">
    <w:name w:val="xl379"/>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130">
    <w:name w:val="xl380"/>
    <w:basedOn w:val="1"/>
    <w:qFormat/>
    <w:uiPriority w:val="0"/>
    <w:pPr>
      <w:widowControl/>
      <w:pBdr>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31">
    <w:name w:val="xl381"/>
    <w:basedOn w:val="1"/>
    <w:qFormat/>
    <w:uiPriority w:val="0"/>
    <w:pPr>
      <w:widowControl/>
      <w:pBdr>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32">
    <w:name w:val="xl382"/>
    <w:basedOn w:val="1"/>
    <w:qFormat/>
    <w:uiPriority w:val="0"/>
    <w:pPr>
      <w:widowControl/>
      <w:pBdr>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paragraph" w:customStyle="1" w:styleId="133">
    <w:name w:val="xl383"/>
    <w:basedOn w:val="1"/>
    <w:qFormat/>
    <w:uiPriority w:val="0"/>
    <w:pPr>
      <w:widowControl/>
      <w:pBdr>
        <w:bottom w:val="single" w:color="C00000" w:sz="8" w:space="0"/>
        <w:right w:val="single" w:color="C00000" w:sz="8" w:space="0"/>
      </w:pBdr>
      <w:spacing w:before="100" w:beforeAutospacing="1" w:after="100" w:afterAutospacing="1"/>
      <w:jc w:val="center"/>
    </w:pPr>
    <w:rPr>
      <w:rFonts w:cs="宋体"/>
      <w:color w:val="000000"/>
      <w:kern w:val="0"/>
      <w:szCs w:val="21"/>
    </w:rPr>
  </w:style>
  <w:style w:type="paragraph" w:customStyle="1" w:styleId="134">
    <w:name w:val="xl384"/>
    <w:basedOn w:val="1"/>
    <w:qFormat/>
    <w:uiPriority w:val="0"/>
    <w:pPr>
      <w:widowControl/>
      <w:pBdr>
        <w:bottom w:val="single" w:color="C00000" w:sz="8" w:space="0"/>
        <w:right w:val="single" w:color="C00000" w:sz="8" w:space="0"/>
      </w:pBdr>
      <w:spacing w:before="100" w:beforeAutospacing="1" w:after="100" w:afterAutospacing="1"/>
    </w:pPr>
    <w:rPr>
      <w:rFonts w:ascii="Times New Roman" w:hAnsi="Times New Roman"/>
      <w:color w:val="000000"/>
      <w:kern w:val="0"/>
      <w:sz w:val="20"/>
      <w:szCs w:val="20"/>
    </w:rPr>
  </w:style>
  <w:style w:type="paragraph" w:customStyle="1" w:styleId="135">
    <w:name w:val="xl385"/>
    <w:basedOn w:val="1"/>
    <w:qFormat/>
    <w:uiPriority w:val="0"/>
    <w:pPr>
      <w:widowControl/>
      <w:pBdr>
        <w:bottom w:val="single" w:color="C00000" w:sz="8" w:space="0"/>
        <w:right w:val="single" w:color="C00000" w:sz="8" w:space="0"/>
      </w:pBdr>
      <w:spacing w:before="100" w:beforeAutospacing="1" w:after="100" w:afterAutospacing="1"/>
    </w:pPr>
    <w:rPr>
      <w:rFonts w:ascii="宋体" w:hAnsi="宋体" w:cs="宋体"/>
      <w:color w:val="000000"/>
      <w:kern w:val="0"/>
      <w:sz w:val="20"/>
      <w:szCs w:val="20"/>
    </w:rPr>
  </w:style>
  <w:style w:type="paragraph" w:customStyle="1" w:styleId="136">
    <w:name w:val="xl386"/>
    <w:basedOn w:val="1"/>
    <w:qFormat/>
    <w:uiPriority w:val="0"/>
    <w:pPr>
      <w:widowControl/>
      <w:pBdr>
        <w:bottom w:val="single" w:color="C00000" w:sz="8" w:space="0"/>
        <w:right w:val="single" w:color="C00000" w:sz="8" w:space="0"/>
      </w:pBdr>
      <w:spacing w:before="100" w:beforeAutospacing="1" w:after="100" w:afterAutospacing="1"/>
      <w:jc w:val="right"/>
    </w:pPr>
    <w:rPr>
      <w:rFonts w:ascii="Times New Roman" w:hAnsi="Times New Roman"/>
      <w:color w:val="000000"/>
      <w:kern w:val="0"/>
      <w:sz w:val="20"/>
      <w:szCs w:val="20"/>
    </w:rPr>
  </w:style>
  <w:style w:type="paragraph" w:customStyle="1" w:styleId="137">
    <w:name w:val="xl387"/>
    <w:basedOn w:val="1"/>
    <w:qFormat/>
    <w:uiPriority w:val="0"/>
    <w:pPr>
      <w:widowControl/>
      <w:pBdr>
        <w:bottom w:val="single" w:color="C00000" w:sz="8" w:space="0"/>
        <w:right w:val="single" w:color="C00000" w:sz="8" w:space="0"/>
      </w:pBdr>
      <w:spacing w:before="100" w:beforeAutospacing="1" w:after="100" w:afterAutospacing="1"/>
    </w:pPr>
    <w:rPr>
      <w:rFonts w:cs="宋体"/>
      <w:color w:val="000000"/>
      <w:kern w:val="0"/>
      <w:sz w:val="20"/>
      <w:szCs w:val="20"/>
    </w:rPr>
  </w:style>
  <w:style w:type="paragraph" w:customStyle="1" w:styleId="138">
    <w:name w:val="xl388"/>
    <w:basedOn w:val="1"/>
    <w:qFormat/>
    <w:uiPriority w:val="0"/>
    <w:pPr>
      <w:widowControl/>
      <w:pBdr>
        <w:bottom w:val="single" w:color="C00000" w:sz="8" w:space="0"/>
        <w:right w:val="single" w:color="C00000" w:sz="8" w:space="0"/>
      </w:pBdr>
      <w:spacing w:before="100" w:beforeAutospacing="1" w:after="100" w:afterAutospacing="1"/>
      <w:jc w:val="right"/>
    </w:pPr>
    <w:rPr>
      <w:rFonts w:ascii="Times New Roman" w:hAnsi="Times New Roman"/>
      <w:color w:val="000000"/>
      <w:kern w:val="0"/>
      <w:sz w:val="20"/>
      <w:szCs w:val="20"/>
    </w:rPr>
  </w:style>
  <w:style w:type="paragraph" w:customStyle="1" w:styleId="139">
    <w:name w:val="xl389"/>
    <w:basedOn w:val="1"/>
    <w:qFormat/>
    <w:uiPriority w:val="0"/>
    <w:pPr>
      <w:widowControl/>
      <w:pBdr>
        <w:top w:val="single" w:color="C00000" w:sz="8" w:space="0"/>
        <w:left w:val="single" w:color="C00000" w:sz="8" w:space="0"/>
        <w:right w:val="single" w:color="C00000" w:sz="8" w:space="0"/>
      </w:pBdr>
      <w:shd w:val="clear" w:color="000000" w:fill="C00000"/>
      <w:spacing w:before="100" w:beforeAutospacing="1" w:after="100" w:afterAutospacing="1"/>
      <w:jc w:val="center"/>
    </w:pPr>
    <w:rPr>
      <w:rFonts w:ascii="宋体" w:hAnsi="宋体" w:cs="宋体"/>
      <w:b/>
      <w:bCs/>
      <w:color w:val="FFFFFF"/>
      <w:kern w:val="0"/>
      <w:sz w:val="20"/>
      <w:szCs w:val="20"/>
    </w:rPr>
  </w:style>
  <w:style w:type="paragraph" w:customStyle="1" w:styleId="140">
    <w:name w:val="xl390"/>
    <w:basedOn w:val="1"/>
    <w:qFormat/>
    <w:uiPriority w:val="0"/>
    <w:pPr>
      <w:widowControl/>
      <w:pBdr>
        <w:left w:val="single" w:color="C00000" w:sz="8" w:space="0"/>
        <w:bottom w:val="single" w:color="C00000" w:sz="8" w:space="0"/>
        <w:right w:val="single" w:color="C00000" w:sz="8" w:space="0"/>
      </w:pBdr>
      <w:shd w:val="clear" w:color="000000" w:fill="C00000"/>
      <w:spacing w:before="100" w:beforeAutospacing="1" w:after="100" w:afterAutospacing="1"/>
      <w:jc w:val="center"/>
    </w:pPr>
    <w:rPr>
      <w:rFonts w:ascii="宋体" w:hAnsi="宋体" w:cs="宋体"/>
      <w:b/>
      <w:bCs/>
      <w:color w:val="FFFFFF"/>
      <w:kern w:val="0"/>
      <w:sz w:val="20"/>
      <w:szCs w:val="20"/>
    </w:rPr>
  </w:style>
  <w:style w:type="paragraph" w:customStyle="1" w:styleId="141">
    <w:name w:val="xl391"/>
    <w:basedOn w:val="1"/>
    <w:qFormat/>
    <w:uiPriority w:val="0"/>
    <w:pPr>
      <w:widowControl/>
      <w:pBdr>
        <w:left w:val="single" w:color="C00000" w:sz="8" w:space="0"/>
        <w:right w:val="single" w:color="C00000" w:sz="8" w:space="0"/>
      </w:pBdr>
      <w:shd w:val="clear" w:color="000000" w:fill="C00000"/>
      <w:spacing w:before="100" w:beforeAutospacing="1" w:after="100" w:afterAutospacing="1"/>
      <w:jc w:val="center"/>
    </w:pPr>
    <w:rPr>
      <w:rFonts w:ascii="宋体" w:hAnsi="宋体" w:cs="宋体"/>
      <w:b/>
      <w:bCs/>
      <w:color w:val="FFFFFF"/>
      <w:kern w:val="0"/>
      <w:sz w:val="20"/>
      <w:szCs w:val="20"/>
    </w:rPr>
  </w:style>
  <w:style w:type="paragraph" w:customStyle="1" w:styleId="142">
    <w:name w:val="xl392"/>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left"/>
    </w:pPr>
    <w:rPr>
      <w:rFonts w:ascii="Times New Roman" w:hAnsi="Times New Roman"/>
      <w:kern w:val="0"/>
      <w:sz w:val="20"/>
      <w:szCs w:val="20"/>
    </w:rPr>
  </w:style>
  <w:style w:type="paragraph" w:customStyle="1" w:styleId="143">
    <w:name w:val="xl393"/>
    <w:basedOn w:val="1"/>
    <w:qFormat/>
    <w:uiPriority w:val="0"/>
    <w:pPr>
      <w:widowControl/>
      <w:pBdr>
        <w:top w:val="single" w:color="C00000" w:sz="8" w:space="0"/>
        <w:left w:val="single" w:color="C00000" w:sz="8" w:space="0"/>
        <w:bottom w:val="single" w:color="C00000" w:sz="8" w:space="0"/>
        <w:right w:val="single" w:color="C00000" w:sz="8" w:space="0"/>
      </w:pBdr>
      <w:spacing w:before="100" w:beforeAutospacing="1" w:after="100" w:afterAutospacing="1"/>
      <w:jc w:val="center"/>
    </w:pPr>
    <w:rPr>
      <w:rFonts w:ascii="Times New Roman" w:hAnsi="Times New Roman"/>
      <w:color w:val="000000"/>
      <w:kern w:val="0"/>
      <w:sz w:val="20"/>
      <w:szCs w:val="20"/>
    </w:rPr>
  </w:style>
  <w:style w:type="character" w:customStyle="1" w:styleId="144">
    <w:name w:val="页码1"/>
    <w:basedOn w:val="23"/>
    <w:qFormat/>
    <w:uiPriority w:val="0"/>
  </w:style>
  <w:style w:type="character" w:customStyle="1" w:styleId="145">
    <w:name w:val="行号1"/>
    <w:basedOn w:val="23"/>
    <w:qFormat/>
    <w:uiPriority w:val="0"/>
  </w:style>
  <w:style w:type="character" w:customStyle="1" w:styleId="146">
    <w:name w:val="批注引用1"/>
    <w:qFormat/>
    <w:uiPriority w:val="0"/>
    <w:rPr>
      <w:sz w:val="21"/>
      <w:szCs w:val="21"/>
    </w:rPr>
  </w:style>
  <w:style w:type="character" w:customStyle="1" w:styleId="147">
    <w:name w:val="p101"/>
    <w:qFormat/>
    <w:uiPriority w:val="0"/>
    <w:rPr>
      <w:sz w:val="22"/>
      <w:szCs w:val="22"/>
    </w:rPr>
  </w:style>
  <w:style w:type="character" w:customStyle="1" w:styleId="148">
    <w:name w:val="apple-style-span"/>
    <w:basedOn w:val="23"/>
    <w:qFormat/>
    <w:uiPriority w:val="0"/>
  </w:style>
  <w:style w:type="character" w:customStyle="1" w:styleId="149">
    <w:name w:val="zz"/>
    <w:basedOn w:val="23"/>
    <w:qFormat/>
    <w:uiPriority w:val="0"/>
  </w:style>
  <w:style w:type="character" w:customStyle="1" w:styleId="150">
    <w:name w:val="txtcontent11"/>
    <w:qFormat/>
    <w:uiPriority w:val="0"/>
    <w:rPr>
      <w:rFonts w:hint="default" w:ascii="ˎ̥" w:hAnsi="ˎ̥"/>
      <w:color w:val="000000"/>
      <w:sz w:val="21"/>
      <w:szCs w:val="21"/>
    </w:rPr>
  </w:style>
  <w:style w:type="character" w:customStyle="1" w:styleId="151">
    <w:name w:val="apple-converted-space"/>
    <w:basedOn w:val="23"/>
    <w:qFormat/>
    <w:uiPriority w:val="0"/>
  </w:style>
  <w:style w:type="character" w:customStyle="1" w:styleId="152">
    <w:name w:val="tt"/>
    <w:basedOn w:val="23"/>
    <w:qFormat/>
    <w:uiPriority w:val="0"/>
  </w:style>
  <w:style w:type="character" w:customStyle="1" w:styleId="153">
    <w:name w:val="gray"/>
    <w:basedOn w:val="23"/>
    <w:qFormat/>
    <w:uiPriority w:val="0"/>
  </w:style>
  <w:style w:type="character" w:customStyle="1" w:styleId="154">
    <w:name w:val="green"/>
    <w:basedOn w:val="23"/>
    <w:qFormat/>
    <w:uiPriority w:val="0"/>
  </w:style>
  <w:style w:type="character" w:customStyle="1" w:styleId="155">
    <w:name w:val="批注引用2"/>
    <w:qFormat/>
    <w:uiPriority w:val="0"/>
    <w:rPr>
      <w:sz w:val="21"/>
      <w:szCs w:val="21"/>
    </w:rPr>
  </w:style>
  <w:style w:type="character" w:customStyle="1" w:styleId="156">
    <w:name w:val="批注引用3"/>
    <w:qFormat/>
    <w:uiPriority w:val="0"/>
    <w:rPr>
      <w:sz w:val="21"/>
      <w:szCs w:val="21"/>
    </w:rPr>
  </w:style>
  <w:style w:type="character" w:customStyle="1" w:styleId="157">
    <w:name w:val="定价一级标题 Char Char Char"/>
    <w:qFormat/>
    <w:uiPriority w:val="0"/>
    <w:rPr>
      <w:rFonts w:ascii="Calibri" w:hAnsi="Arial" w:eastAsia="宋体" w:cs="Times New Roman"/>
      <w:b/>
      <w:bCs/>
      <w:kern w:val="44"/>
      <w:sz w:val="28"/>
      <w:szCs w:val="28"/>
    </w:rPr>
  </w:style>
  <w:style w:type="paragraph" w:customStyle="1" w:styleId="158">
    <w:name w:val="默认段落字体 Para Char"/>
    <w:basedOn w:val="1"/>
    <w:qFormat/>
    <w:uiPriority w:val="0"/>
    <w:pPr>
      <w:tabs>
        <w:tab w:val="left" w:pos="360"/>
      </w:tabs>
      <w:spacing w:before="312" w:after="312" w:line="360" w:lineRule="auto"/>
    </w:pPr>
    <w:rPr>
      <w:rFonts w:ascii="Times New Roman" w:hAnsi="Times New Roman"/>
      <w:szCs w:val="20"/>
    </w:rPr>
  </w:style>
  <w:style w:type="paragraph" w:customStyle="1" w:styleId="159">
    <w:name w:val="列出段落3"/>
    <w:basedOn w:val="1"/>
    <w:qFormat/>
    <w:uiPriority w:val="0"/>
    <w:pPr>
      <w:ind w:firstLine="420" w:firstLineChars="200"/>
    </w:pPr>
    <w:rPr>
      <w:rFonts w:ascii="Times New Roman" w:hAnsi="Times New Roman"/>
      <w:szCs w:val="20"/>
    </w:rPr>
  </w:style>
  <w:style w:type="paragraph" w:customStyle="1" w:styleId="160">
    <w:name w:val="Char"/>
    <w:basedOn w:val="1"/>
    <w:qFormat/>
    <w:uiPriority w:val="0"/>
    <w:rPr>
      <w:rFonts w:ascii="Times New Roman" w:hAnsi="Times New Roman"/>
      <w:szCs w:val="20"/>
    </w:rPr>
  </w:style>
  <w:style w:type="paragraph" w:customStyle="1" w:styleId="161">
    <w:name w:val="列出段落4"/>
    <w:basedOn w:val="1"/>
    <w:qFormat/>
    <w:uiPriority w:val="34"/>
    <w:pPr>
      <w:ind w:firstLine="420" w:firstLineChars="200"/>
    </w:pPr>
    <w:rPr>
      <w:rFonts w:ascii="Times New Roman" w:hAnsi="Times New Roman"/>
      <w:szCs w:val="24"/>
    </w:rPr>
  </w:style>
  <w:style w:type="character" w:customStyle="1" w:styleId="162">
    <w:name w:val="agreen"/>
    <w:basedOn w:val="23"/>
    <w:qFormat/>
    <w:uiPriority w:val="0"/>
  </w:style>
  <w:style w:type="paragraph" w:customStyle="1" w:styleId="163">
    <w:name w:val="font11"/>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164">
    <w:name w:val="font12"/>
    <w:basedOn w:val="1"/>
    <w:qFormat/>
    <w:uiPriority w:val="0"/>
    <w:pPr>
      <w:widowControl/>
      <w:spacing w:before="100" w:beforeAutospacing="1" w:after="100" w:afterAutospacing="1"/>
      <w:jc w:val="left"/>
    </w:pPr>
    <w:rPr>
      <w:rFonts w:ascii="宋体" w:hAnsi="宋体" w:cs="宋体"/>
      <w:kern w:val="0"/>
      <w:sz w:val="22"/>
    </w:rPr>
  </w:style>
  <w:style w:type="paragraph" w:customStyle="1" w:styleId="165">
    <w:name w:val="xl101"/>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166">
    <w:name w:val="xl102"/>
    <w:basedOn w:val="1"/>
    <w:qFormat/>
    <w:uiPriority w:val="0"/>
    <w:pPr>
      <w:widowControl/>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167">
    <w:name w:val="xl103"/>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168">
    <w:name w:val="xl10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69">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70">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71">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4"/>
      <w:szCs w:val="24"/>
    </w:rPr>
  </w:style>
  <w:style w:type="paragraph" w:customStyle="1" w:styleId="172">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3">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74">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175">
    <w:name w:val="xl111"/>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textAlignment w:val="bottom"/>
    </w:pPr>
    <w:rPr>
      <w:rFonts w:ascii="宋体" w:hAnsi="宋体" w:cs="宋体"/>
      <w:kern w:val="0"/>
      <w:sz w:val="20"/>
      <w:szCs w:val="20"/>
    </w:rPr>
  </w:style>
  <w:style w:type="paragraph" w:customStyle="1" w:styleId="176">
    <w:name w:val="xl11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77">
    <w:name w:val="xl11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78">
    <w:name w:val="xl11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179">
    <w:name w:val="xl115"/>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180">
    <w:name w:val="xl11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81">
    <w:name w:val="xl117"/>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82">
    <w:name w:val="xl118"/>
    <w:basedOn w:val="1"/>
    <w:qFormat/>
    <w:uiPriority w:val="0"/>
    <w:pPr>
      <w:widowControl/>
      <w:pBdr>
        <w:top w:val="single" w:color="auto" w:sz="4" w:space="0"/>
        <w:lef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83">
    <w:name w:val="xl119"/>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84">
    <w:name w:val="xl120"/>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85">
    <w:name w:val="xl121"/>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186">
    <w:name w:val="xl12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微软雅黑" w:hAnsi="微软雅黑" w:eastAsia="微软雅黑" w:cs="宋体"/>
      <w:b/>
      <w:bCs/>
      <w:kern w:val="0"/>
      <w:sz w:val="20"/>
      <w:szCs w:val="20"/>
    </w:rPr>
  </w:style>
  <w:style w:type="paragraph" w:customStyle="1" w:styleId="187">
    <w:name w:val="xl123"/>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88">
    <w:name w:val="xl12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89">
    <w:name w:val="xl125"/>
    <w:basedOn w:val="1"/>
    <w:qFormat/>
    <w:uiPriority w:val="0"/>
    <w:pPr>
      <w:widowControl/>
      <w:pBdr>
        <w:left w:val="single" w:color="auto" w:sz="4" w:space="0"/>
        <w:bottom w:val="single" w:color="auto" w:sz="4" w:space="0"/>
      </w:pBdr>
      <w:shd w:val="clear" w:color="000000" w:fill="FFFFFF"/>
      <w:spacing w:before="100" w:beforeAutospacing="1" w:after="100" w:afterAutospacing="1"/>
      <w:jc w:val="center"/>
    </w:pPr>
    <w:rPr>
      <w:rFonts w:ascii="宋体" w:hAnsi="宋体" w:cs="宋体"/>
      <w:b/>
      <w:bCs/>
      <w:kern w:val="0"/>
      <w:sz w:val="24"/>
      <w:szCs w:val="24"/>
    </w:rPr>
  </w:style>
  <w:style w:type="paragraph" w:customStyle="1" w:styleId="190">
    <w:name w:val="xl126"/>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191">
    <w:name w:val="xl12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2">
    <w:name w:val="xl1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3">
    <w:name w:val="xl12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4">
    <w:name w:val="xl1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5">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196">
    <w:name w:val="xl13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7">
    <w:name w:val="xl13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8">
    <w:name w:val="xl13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199">
    <w:name w:val="xl1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00">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01">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202">
    <w:name w:val="xl1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03">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04">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4"/>
      <w:szCs w:val="24"/>
    </w:rPr>
  </w:style>
  <w:style w:type="paragraph" w:customStyle="1" w:styleId="205">
    <w:name w:val="xl141"/>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06">
    <w:name w:val="xl14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07">
    <w:name w:val="xl14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Arial" w:hAnsi="Arial" w:cs="Arial"/>
      <w:kern w:val="0"/>
      <w:sz w:val="24"/>
      <w:szCs w:val="24"/>
    </w:rPr>
  </w:style>
  <w:style w:type="paragraph" w:customStyle="1" w:styleId="208">
    <w:name w:val="xl14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09">
    <w:name w:val="xl14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0">
    <w:name w:val="xl146"/>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1">
    <w:name w:val="xl14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2">
    <w:name w:val="xl14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4"/>
      <w:szCs w:val="24"/>
    </w:rPr>
  </w:style>
  <w:style w:type="paragraph" w:customStyle="1" w:styleId="213">
    <w:name w:val="xl149"/>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4">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5">
    <w:name w:val="xl15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6">
    <w:name w:val="xl1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7">
    <w:name w:val="xl15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8">
    <w:name w:val="xl15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19">
    <w:name w:val="xl15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20">
    <w:name w:val="xl15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21">
    <w:name w:val="xl15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22">
    <w:name w:val="xl15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23">
    <w:name w:val="xl159"/>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24">
    <w:name w:val="xl16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25">
    <w:name w:val="xl16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26">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27">
    <w:name w:val="xl16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28">
    <w:name w:val="xl1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29">
    <w:name w:val="xl1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30">
    <w:name w:val="xl16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31">
    <w:name w:val="xl167"/>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32">
    <w:name w:val="xl1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33">
    <w:name w:val="xl1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34">
    <w:name w:val="xl1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35">
    <w:name w:val="xl1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36">
    <w:name w:val="xl1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4"/>
      <w:szCs w:val="24"/>
    </w:rPr>
  </w:style>
  <w:style w:type="paragraph" w:customStyle="1" w:styleId="237">
    <w:name w:val="xl173"/>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38">
    <w:name w:val="xl1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39">
    <w:name w:val="xl17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40">
    <w:name w:val="xl1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Arial" w:hAnsi="Arial" w:cs="Arial"/>
      <w:kern w:val="0"/>
      <w:sz w:val="24"/>
      <w:szCs w:val="24"/>
    </w:rPr>
  </w:style>
  <w:style w:type="paragraph" w:customStyle="1" w:styleId="241">
    <w:name w:val="xl1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42">
    <w:name w:val="xl178"/>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bottom"/>
    </w:pPr>
    <w:rPr>
      <w:rFonts w:ascii="宋体" w:hAnsi="宋体" w:cs="宋体"/>
      <w:kern w:val="0"/>
      <w:sz w:val="24"/>
      <w:szCs w:val="24"/>
    </w:rPr>
  </w:style>
  <w:style w:type="paragraph" w:customStyle="1" w:styleId="243">
    <w:name w:val="xl1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44">
    <w:name w:val="xl1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45">
    <w:name w:val="xl1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46">
    <w:name w:val="xl182"/>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left"/>
      <w:textAlignment w:val="top"/>
    </w:pPr>
    <w:rPr>
      <w:rFonts w:ascii="宋体" w:hAnsi="宋体" w:cs="宋体"/>
      <w:kern w:val="0"/>
      <w:sz w:val="24"/>
      <w:szCs w:val="24"/>
    </w:rPr>
  </w:style>
  <w:style w:type="paragraph" w:customStyle="1" w:styleId="247">
    <w:name w:val="xl1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top"/>
    </w:pPr>
    <w:rPr>
      <w:rFonts w:ascii="宋体" w:hAnsi="宋体" w:cs="宋体"/>
      <w:kern w:val="0"/>
      <w:sz w:val="24"/>
      <w:szCs w:val="24"/>
    </w:rPr>
  </w:style>
  <w:style w:type="paragraph" w:customStyle="1" w:styleId="248">
    <w:name w:val="xl1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4"/>
      <w:szCs w:val="24"/>
    </w:rPr>
  </w:style>
  <w:style w:type="paragraph" w:customStyle="1" w:styleId="249">
    <w:name w:val="xl185"/>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top"/>
    </w:pPr>
    <w:rPr>
      <w:rFonts w:ascii="宋体" w:hAnsi="宋体" w:cs="宋体"/>
      <w:kern w:val="0"/>
      <w:sz w:val="24"/>
      <w:szCs w:val="24"/>
    </w:rPr>
  </w:style>
  <w:style w:type="paragraph" w:customStyle="1" w:styleId="250">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Arial" w:hAnsi="Arial" w:cs="Arial"/>
      <w:kern w:val="0"/>
      <w:sz w:val="24"/>
      <w:szCs w:val="24"/>
    </w:rPr>
  </w:style>
  <w:style w:type="paragraph" w:customStyle="1" w:styleId="251">
    <w:name w:val="xl1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cs="宋体"/>
      <w:kern w:val="0"/>
      <w:sz w:val="24"/>
      <w:szCs w:val="24"/>
    </w:rPr>
  </w:style>
  <w:style w:type="paragraph" w:customStyle="1" w:styleId="252">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cs="宋体"/>
      <w:kern w:val="0"/>
      <w:sz w:val="24"/>
      <w:szCs w:val="24"/>
    </w:rPr>
  </w:style>
  <w:style w:type="paragraph" w:customStyle="1" w:styleId="253">
    <w:name w:val="xl1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Arial" w:hAnsi="Arial" w:cs="Arial"/>
      <w:kern w:val="0"/>
      <w:sz w:val="24"/>
      <w:szCs w:val="24"/>
    </w:rPr>
  </w:style>
  <w:style w:type="paragraph" w:customStyle="1" w:styleId="254">
    <w:name w:val="xl1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55">
    <w:name w:val="xl1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top"/>
    </w:pPr>
    <w:rPr>
      <w:rFonts w:ascii="宋体" w:hAnsi="宋体" w:cs="宋体"/>
      <w:kern w:val="0"/>
      <w:sz w:val="24"/>
      <w:szCs w:val="24"/>
    </w:rPr>
  </w:style>
  <w:style w:type="paragraph" w:customStyle="1" w:styleId="256">
    <w:name w:val="xl1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57">
    <w:name w:val="xl19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textAlignment w:val="top"/>
    </w:pPr>
    <w:rPr>
      <w:rFonts w:ascii="Arial" w:hAnsi="Arial" w:cs="Arial"/>
      <w:kern w:val="0"/>
      <w:sz w:val="24"/>
      <w:szCs w:val="24"/>
    </w:rPr>
  </w:style>
  <w:style w:type="paragraph" w:customStyle="1" w:styleId="258">
    <w:name w:val="xl19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59">
    <w:name w:val="xl195"/>
    <w:basedOn w:val="1"/>
    <w:qFormat/>
    <w:uiPriority w:val="0"/>
    <w:pPr>
      <w:widowControl/>
      <w:pBdr>
        <w:top w:val="single" w:color="auto" w:sz="4" w:space="0"/>
        <w:lef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260">
    <w:name w:val="xl196"/>
    <w:basedOn w:val="1"/>
    <w:qFormat/>
    <w:uiPriority w:val="0"/>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261">
    <w:name w:val="font13"/>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262">
    <w:name w:val="TOC 标题2"/>
    <w:basedOn w:val="2"/>
    <w:next w:val="1"/>
    <w:unhideWhenUsed/>
    <w:qFormat/>
    <w:uiPriority w:val="39"/>
    <w:pPr>
      <w:widowControl/>
      <w:spacing w:before="240" w:after="0" w:line="259" w:lineRule="auto"/>
      <w:jc w:val="left"/>
      <w:outlineLvl w:val="9"/>
    </w:pPr>
    <w:rPr>
      <w:rFonts w:ascii="Cambria" w:hAnsi="Cambria"/>
      <w:b w:val="0"/>
      <w:bCs w:val="0"/>
      <w:color w:val="365F91"/>
      <w:kern w:val="0"/>
      <w:sz w:val="32"/>
      <w:szCs w:val="32"/>
    </w:rPr>
  </w:style>
  <w:style w:type="paragraph" w:customStyle="1" w:styleId="263">
    <w:name w:val="标题2"/>
    <w:basedOn w:val="5"/>
    <w:qFormat/>
    <w:uiPriority w:val="0"/>
    <w:pPr>
      <w:outlineLvl w:val="1"/>
    </w:pPr>
  </w:style>
  <w:style w:type="paragraph" w:customStyle="1" w:styleId="264">
    <w:name w:val="标题3"/>
    <w:basedOn w:val="161"/>
    <w:qFormat/>
    <w:uiPriority w:val="0"/>
    <w:pPr>
      <w:spacing w:before="50" w:afterLines="50" w:line="360" w:lineRule="auto"/>
      <w:ind w:left="720" w:firstLine="0" w:firstLineChars="0"/>
      <w:outlineLvl w:val="2"/>
    </w:pPr>
    <w:rPr>
      <w:b/>
      <w:sz w:val="24"/>
    </w:rPr>
  </w:style>
  <w:style w:type="character" w:customStyle="1" w:styleId="265">
    <w:name w:val="crosstypetip"/>
    <w:qFormat/>
    <w:uiPriority w:val="0"/>
    <w:rPr>
      <w:color w:val="767676"/>
    </w:rPr>
  </w:style>
  <w:style w:type="character" w:customStyle="1" w:styleId="266">
    <w:name w:val="tab_strip_text"/>
    <w:qFormat/>
    <w:uiPriority w:val="0"/>
    <w:rPr>
      <w:rFonts w:hint="eastAsia" w:ascii="宋体" w:hAnsi="宋体" w:eastAsia="宋体" w:cs="宋体"/>
      <w:color w:val="416AA3"/>
      <w:sz w:val="18"/>
      <w:szCs w:val="18"/>
    </w:rPr>
  </w:style>
  <w:style w:type="character" w:customStyle="1" w:styleId="267">
    <w:name w:val="tab_strip_text1"/>
    <w:basedOn w:val="23"/>
    <w:qFormat/>
    <w:uiPriority w:val="0"/>
  </w:style>
  <w:style w:type="character" w:customStyle="1" w:styleId="268">
    <w:name w:val="tab_strip_text2"/>
    <w:qFormat/>
    <w:uiPriority w:val="0"/>
    <w:rPr>
      <w:b/>
      <w:color w:val="15428B"/>
    </w:rPr>
  </w:style>
  <w:style w:type="character" w:customStyle="1" w:styleId="269">
    <w:name w:val="w_iconsearch"/>
    <w:basedOn w:val="23"/>
    <w:qFormat/>
    <w:uiPriority w:val="0"/>
  </w:style>
  <w:style w:type="character" w:customStyle="1" w:styleId="270">
    <w:name w:val="w_iconsearch1"/>
    <w:basedOn w:val="23"/>
    <w:qFormat/>
    <w:uiPriority w:val="0"/>
  </w:style>
  <w:style w:type="character" w:customStyle="1" w:styleId="271">
    <w:name w:val="current"/>
    <w:qFormat/>
    <w:uiPriority w:val="0"/>
    <w:rPr>
      <w:b/>
      <w:color w:val="FFFFFF"/>
      <w:bdr w:val="single" w:color="000080" w:sz="6" w:space="0"/>
      <w:shd w:val="clear" w:color="auto" w:fill="2E6AB1"/>
    </w:rPr>
  </w:style>
  <w:style w:type="character" w:customStyle="1" w:styleId="272">
    <w:name w:val="disabled"/>
    <w:qFormat/>
    <w:uiPriority w:val="0"/>
    <w:rPr>
      <w:color w:val="929292"/>
      <w:bdr w:val="single" w:color="929292" w:sz="6" w:space="0"/>
    </w:rPr>
  </w:style>
  <w:style w:type="character" w:customStyle="1" w:styleId="273">
    <w:name w:val="font31"/>
    <w:qFormat/>
    <w:uiPriority w:val="0"/>
    <w:rPr>
      <w:rFonts w:ascii="Arial" w:hAnsi="Arial" w:cs="Arial"/>
      <w:color w:val="000000"/>
      <w:sz w:val="22"/>
      <w:szCs w:val="22"/>
      <w:u w:val="none"/>
    </w:rPr>
  </w:style>
  <w:style w:type="character" w:customStyle="1" w:styleId="274">
    <w:name w:val="font21"/>
    <w:qFormat/>
    <w:uiPriority w:val="0"/>
    <w:rPr>
      <w:rFonts w:hint="eastAsia" w:ascii="宋体" w:hAnsi="宋体" w:eastAsia="宋体" w:cs="宋体"/>
      <w:color w:val="000000"/>
      <w:sz w:val="22"/>
      <w:szCs w:val="22"/>
      <w:u w:val="none"/>
    </w:rPr>
  </w:style>
  <w:style w:type="character" w:customStyle="1" w:styleId="275">
    <w:name w:val="font01"/>
    <w:uiPriority w:val="0"/>
    <w:rPr>
      <w:rFonts w:hint="eastAsia" w:ascii="宋体" w:hAnsi="宋体" w:eastAsia="宋体" w:cs="宋体"/>
      <w:color w:val="000000"/>
      <w:sz w:val="22"/>
      <w:szCs w:val="22"/>
      <w:u w:val="none"/>
    </w:rPr>
  </w:style>
  <w:style w:type="character" w:customStyle="1" w:styleId="276">
    <w:name w:val="font61"/>
    <w:uiPriority w:val="0"/>
    <w:rPr>
      <w:rFonts w:hint="eastAsia" w:ascii="宋体" w:hAnsi="宋体" w:eastAsia="宋体" w:cs="宋体"/>
      <w:color w:val="FF0000"/>
      <w:sz w:val="24"/>
      <w:szCs w:val="24"/>
      <w:u w:val="none"/>
    </w:rPr>
  </w:style>
  <w:style w:type="paragraph" w:customStyle="1" w:styleId="277">
    <w:name w:val="HTML Bottom of Form"/>
    <w:basedOn w:val="1"/>
    <w:next w:val="1"/>
    <w:link w:val="278"/>
    <w:unhideWhenUsed/>
    <w:uiPriority w:val="99"/>
    <w:pPr>
      <w:widowControl/>
      <w:pBdr>
        <w:top w:val="single" w:color="auto" w:sz="6" w:space="1"/>
      </w:pBdr>
      <w:jc w:val="center"/>
    </w:pPr>
    <w:rPr>
      <w:rFonts w:ascii="Arial" w:hAnsi="Arial" w:cs="Arial"/>
      <w:vanish/>
      <w:kern w:val="0"/>
      <w:sz w:val="16"/>
      <w:szCs w:val="16"/>
    </w:rPr>
  </w:style>
  <w:style w:type="character" w:customStyle="1" w:styleId="278">
    <w:name w:val="z-窗体底端 字符"/>
    <w:link w:val="277"/>
    <w:uiPriority w:val="99"/>
    <w:rPr>
      <w:rFonts w:ascii="Arial" w:hAnsi="Arial" w:eastAsia="宋体" w:cs="Arial"/>
      <w:vanish/>
      <w:kern w:val="0"/>
      <w:sz w:val="16"/>
      <w:szCs w:val="16"/>
    </w:rPr>
  </w:style>
  <w:style w:type="paragraph" w:customStyle="1" w:styleId="279">
    <w:name w:val="HTML Top of Form"/>
    <w:basedOn w:val="1"/>
    <w:next w:val="1"/>
    <w:link w:val="280"/>
    <w:unhideWhenUsed/>
    <w:uiPriority w:val="99"/>
    <w:pPr>
      <w:widowControl/>
      <w:pBdr>
        <w:bottom w:val="single" w:color="auto" w:sz="6" w:space="1"/>
      </w:pBdr>
      <w:jc w:val="center"/>
    </w:pPr>
    <w:rPr>
      <w:rFonts w:ascii="Arial" w:hAnsi="Arial" w:cs="Arial"/>
      <w:vanish/>
      <w:kern w:val="0"/>
      <w:sz w:val="16"/>
      <w:szCs w:val="16"/>
    </w:rPr>
  </w:style>
  <w:style w:type="character" w:customStyle="1" w:styleId="280">
    <w:name w:val="z-窗体顶端 字符"/>
    <w:link w:val="279"/>
    <w:uiPriority w:val="99"/>
    <w:rPr>
      <w:rFonts w:ascii="Arial" w:hAnsi="Arial" w:eastAsia="宋体" w:cs="Arial"/>
      <w:vanish/>
      <w:kern w:val="0"/>
      <w:sz w:val="16"/>
      <w:szCs w:val="16"/>
    </w:rPr>
  </w:style>
  <w:style w:type="paragraph" w:styleId="281">
    <w:name w:val="List Paragraph"/>
    <w:basedOn w:val="1"/>
    <w:uiPriority w:val="99"/>
    <w:pPr>
      <w:ind w:firstLine="420" w:firstLineChars="200"/>
    </w:pPr>
    <w:rPr>
      <w:rFonts w:ascii="Times New Roman" w:hAnsi="Times New Roman"/>
      <w:szCs w:val="24"/>
    </w:rPr>
  </w:style>
  <w:style w:type="paragraph" w:customStyle="1" w:styleId="282">
    <w:name w:val="Revision"/>
    <w:hidden/>
    <w:semiHidden/>
    <w:uiPriority w:val="99"/>
    <w:rPr>
      <w:rFonts w:ascii="Calibri" w:hAnsi="Calibri" w:eastAsia="宋体" w:cs="Times New Roman"/>
      <w:kern w:val="2"/>
      <w:sz w:val="21"/>
      <w:szCs w:val="22"/>
      <w:lang w:val="en-US" w:eastAsia="zh-CN" w:bidi="ar-SA"/>
    </w:rPr>
  </w:style>
  <w:style w:type="paragraph" w:customStyle="1" w:styleId="28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3504-6568-442A-A89D-7AD69E4E9C23}">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Pages>
  <Words>1780</Words>
  <Characters>10149</Characters>
  <Lines>84</Lines>
  <Paragraphs>23</Paragraphs>
  <TotalTime>82</TotalTime>
  <ScaleCrop>false</ScaleCrop>
  <LinksUpToDate>false</LinksUpToDate>
  <CharactersWithSpaces>11906</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2022-09-02T07:12:00Z</dcterms:created>
  <dc:creator>微软中国</dc:creator>
  <cp:lastModifiedBy>胡金有(010301)</cp:lastModifiedBy>
  <dcterms:modified xsi:type="dcterms:W3CDTF">2022-09-05T09:53:47Z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FA892029930348B4AEC19D1911926518</vt:lpwstr>
  </property>
</Properties>
</file>