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1" w:firstLineChars="200"/>
        <w:jc w:val="both"/>
        <w:rPr>
          <w:rFonts w:hint="eastAsia" w:hAnsi="华文中宋" w:eastAsia="华文中宋"/>
          <w:b/>
          <w:sz w:val="48"/>
          <w:szCs w:val="48"/>
        </w:rPr>
      </w:pPr>
      <w:r>
        <w:rPr>
          <w:rFonts w:hAnsi="华文中宋" w:eastAsia="华文中宋"/>
          <w:b/>
          <w:sz w:val="48"/>
          <w:szCs w:val="48"/>
        </w:rPr>
        <w:t>证券行业促进乡村振兴公益行动</w:t>
      </w:r>
    </w:p>
    <w:p>
      <w:pPr>
        <w:jc w:val="center"/>
        <w:rPr>
          <w:rFonts w:hint="eastAsia" w:hAnsi="华文中宋" w:eastAsia="华文中宋"/>
          <w:b/>
          <w:sz w:val="48"/>
          <w:szCs w:val="48"/>
        </w:rPr>
      </w:pPr>
      <w:r>
        <w:rPr>
          <w:rFonts w:eastAsia="华文中宋"/>
          <w:b/>
          <w:sz w:val="48"/>
          <w:szCs w:val="48"/>
        </w:rPr>
        <w:t>20</w:t>
      </w:r>
      <w:r>
        <w:rPr>
          <w:rFonts w:hint="eastAsia" w:eastAsia="华文中宋"/>
          <w:b/>
          <w:sz w:val="48"/>
          <w:szCs w:val="48"/>
        </w:rPr>
        <w:t>22</w:t>
      </w:r>
      <w:r>
        <w:rPr>
          <w:rFonts w:hAnsi="华文中宋" w:eastAsia="华文中宋"/>
          <w:b/>
          <w:sz w:val="48"/>
          <w:szCs w:val="48"/>
        </w:rPr>
        <w:t>年</w:t>
      </w:r>
      <w:r>
        <w:rPr>
          <w:rFonts w:hint="eastAsia" w:hAnsi="华文中宋" w:eastAsia="华文中宋"/>
          <w:b/>
          <w:sz w:val="48"/>
          <w:szCs w:val="48"/>
        </w:rPr>
        <w:t>县域经济调研报告</w:t>
      </w:r>
    </w:p>
    <w:p>
      <w:pPr>
        <w:rPr>
          <w:rFonts w:hint="eastAsia" w:ascii="宋体" w:hAnsi="宋体"/>
          <w:sz w:val="32"/>
        </w:rPr>
      </w:pPr>
    </w:p>
    <w:p>
      <w:pPr>
        <w:ind w:firstLine="964" w:firstLineChars="300"/>
        <w:rPr>
          <w:rFonts w:hint="eastAsia" w:ascii="仿宋_GB2312" w:hAnsi="宋体" w:eastAsia="仿宋_GB2312"/>
          <w:b/>
          <w:sz w:val="32"/>
          <w:u w:val="single"/>
        </w:rPr>
      </w:pPr>
      <w:r>
        <w:rPr>
          <w:rFonts w:hint="eastAsia" w:ascii="仿宋_GB2312" w:hAnsi="宋体" w:eastAsia="仿宋_GB2312"/>
          <w:b/>
          <w:sz w:val="32"/>
        </w:rPr>
        <w:t>报告名称：</w:t>
      </w:r>
      <w:r>
        <w:rPr>
          <w:rFonts w:hint="eastAsia" w:ascii="仿宋_GB2312" w:hAnsi="宋体" w:eastAsia="仿宋_GB2312"/>
          <w:b w:val="0"/>
          <w:bCs/>
          <w:sz w:val="32"/>
          <w:u w:val="single"/>
        </w:rPr>
        <w:t>于都县梓山镇富硒产业转型升级调研报告</w:t>
      </w:r>
      <w:r>
        <w:rPr>
          <w:rFonts w:hint="eastAsia" w:ascii="仿宋_GB2312" w:hAnsi="宋体" w:eastAsia="仿宋_GB2312"/>
          <w:b/>
          <w:sz w:val="32"/>
          <w:u w:val="single"/>
        </w:rPr>
        <w:t xml:space="preserve"> </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rPr>
          <w:rFonts w:hint="eastAsia" w:ascii="仿宋_GB2312" w:hAnsi="宋体" w:eastAsia="仿宋_GB2312"/>
          <w:sz w:val="32"/>
        </w:rPr>
      </w:pPr>
    </w:p>
    <w:p>
      <w:pPr>
        <w:ind w:firstLine="964" w:firstLineChars="300"/>
        <w:rPr>
          <w:rFonts w:hint="eastAsia" w:ascii="仿宋_GB2312" w:hAnsi="宋体" w:eastAsia="仿宋_GB2312"/>
          <w:sz w:val="32"/>
          <w:u w:val="single"/>
        </w:rPr>
      </w:pPr>
      <w:r>
        <w:rPr>
          <w:rFonts w:hint="eastAsia" w:ascii="仿宋_GB2312" w:hAnsi="宋体" w:eastAsia="仿宋_GB2312"/>
          <w:b/>
          <w:sz w:val="32"/>
        </w:rPr>
        <w:t>调研县域:</w:t>
      </w:r>
      <w:r>
        <w:rPr>
          <w:rFonts w:hint="eastAsia" w:ascii="仿宋_GB2312" w:hAnsi="宋体" w:eastAsia="仿宋_GB2312"/>
          <w:sz w:val="32"/>
        </w:rPr>
        <w:t xml:space="preserve"> </w:t>
      </w:r>
      <w:r>
        <w:rPr>
          <w:rFonts w:ascii="仿宋_GB2312" w:hAnsi="宋体" w:eastAsia="仿宋_GB2312"/>
          <w:sz w:val="32"/>
          <w:u w:val="single"/>
        </w:rPr>
        <w:t xml:space="preserve">     </w:t>
      </w:r>
      <w:r>
        <w:rPr>
          <w:rFonts w:hint="eastAsia" w:ascii="仿宋_GB2312" w:hAnsi="宋体" w:eastAsia="仿宋_GB2312"/>
          <w:sz w:val="32"/>
          <w:u w:val="single"/>
          <w:lang w:val="en-US" w:eastAsia="zh-CN"/>
        </w:rPr>
        <w:t>江西</w:t>
      </w:r>
      <w:r>
        <w:rPr>
          <w:rFonts w:ascii="仿宋_GB2312" w:hAnsi="宋体" w:eastAsia="仿宋_GB2312"/>
          <w:sz w:val="32"/>
          <w:u w:val="single"/>
        </w:rPr>
        <w:t>省</w:t>
      </w:r>
      <w:r>
        <w:rPr>
          <w:rFonts w:hint="eastAsia" w:ascii="仿宋_GB2312" w:hAnsi="宋体" w:eastAsia="仿宋_GB2312"/>
          <w:sz w:val="32"/>
          <w:u w:val="single"/>
          <w:lang w:val="en-US" w:eastAsia="zh-CN"/>
        </w:rPr>
        <w:t>于都</w:t>
      </w:r>
      <w:r>
        <w:rPr>
          <w:rFonts w:ascii="仿宋_GB2312" w:hAnsi="宋体" w:eastAsia="仿宋_GB2312"/>
          <w:sz w:val="32"/>
          <w:u w:val="single"/>
        </w:rPr>
        <w:t>县</w:t>
      </w:r>
      <w:r>
        <w:rPr>
          <w:rFonts w:hint="eastAsia" w:ascii="仿宋_GB2312" w:hAnsi="宋体" w:eastAsia="仿宋_GB2312"/>
          <w:sz w:val="32"/>
          <w:u w:val="single"/>
          <w:lang w:val="en-US" w:eastAsia="zh-CN"/>
        </w:rPr>
        <w:t>梓山镇</w:t>
      </w:r>
      <w:r>
        <w:rPr>
          <w:rFonts w:ascii="仿宋_GB2312" w:hAnsi="宋体" w:eastAsia="仿宋_GB2312"/>
          <w:sz w:val="32"/>
          <w:u w:val="single"/>
        </w:rPr>
        <w:t xml:space="preserve">                  </w:t>
      </w:r>
    </w:p>
    <w:p>
      <w:pPr>
        <w:ind w:firstLine="1449" w:firstLineChars="453"/>
        <w:rPr>
          <w:rFonts w:hint="eastAsia" w:ascii="仿宋_GB2312" w:hAnsi="宋体" w:eastAsia="仿宋_GB2312"/>
          <w:sz w:val="32"/>
          <w:u w:val="single"/>
        </w:rPr>
      </w:pPr>
    </w:p>
    <w:p>
      <w:pPr>
        <w:ind w:firstLine="964" w:firstLineChars="300"/>
        <w:rPr>
          <w:rFonts w:hint="eastAsia" w:ascii="仿宋_GB2312" w:hAnsi="宋体" w:eastAsia="仿宋_GB2312"/>
          <w:b/>
          <w:sz w:val="32"/>
          <w:u w:val="single"/>
        </w:rPr>
      </w:pPr>
      <w:r>
        <w:rPr>
          <w:rFonts w:hint="eastAsia" w:ascii="仿宋_GB2312" w:hAnsi="宋体" w:eastAsia="仿宋_GB2312"/>
          <w:b/>
          <w:sz w:val="32"/>
        </w:rPr>
        <w:t xml:space="preserve">牵头调研单位: </w:t>
      </w:r>
      <w:r>
        <w:rPr>
          <w:rFonts w:ascii="仿宋_GB2312" w:hAnsi="宋体" w:eastAsia="仿宋_GB2312"/>
          <w:b/>
          <w:sz w:val="32"/>
          <w:u w:val="single"/>
        </w:rPr>
        <w:t xml:space="preserve">   </w:t>
      </w:r>
      <w:r>
        <w:rPr>
          <w:rFonts w:hint="eastAsia" w:ascii="仿宋_GB2312" w:hAnsi="宋体" w:eastAsia="仿宋_GB2312"/>
          <w:b w:val="0"/>
          <w:bCs/>
          <w:sz w:val="32"/>
          <w:u w:val="single"/>
          <w:lang w:val="en-US" w:eastAsia="zh-CN"/>
        </w:rPr>
        <w:t>国盛证券有限责任公司</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rPr>
          <w:rFonts w:hint="eastAsia" w:ascii="仿宋_GB2312" w:hAnsi="宋体" w:eastAsia="仿宋_GB2312"/>
          <w:sz w:val="32"/>
          <w:u w:val="single"/>
        </w:rPr>
      </w:pPr>
    </w:p>
    <w:p>
      <w:pPr>
        <w:ind w:firstLine="964" w:firstLineChars="300"/>
        <w:rPr>
          <w:rFonts w:hint="eastAsia" w:ascii="仿宋_GB2312" w:hAnsi="宋体" w:eastAsia="仿宋_GB2312"/>
          <w:b/>
          <w:sz w:val="32"/>
          <w:u w:val="single"/>
        </w:rPr>
      </w:pPr>
      <w:r>
        <w:rPr>
          <w:rFonts w:hint="eastAsia" w:ascii="仿宋_GB2312" w:hAnsi="宋体" w:eastAsia="仿宋_GB2312"/>
          <w:b/>
          <w:sz w:val="32"/>
        </w:rPr>
        <w:t xml:space="preserve">联合调研单位: </w:t>
      </w:r>
      <w:r>
        <w:rPr>
          <w:rFonts w:ascii="仿宋_GB2312" w:hAnsi="宋体" w:eastAsia="仿宋_GB2312"/>
          <w:b/>
          <w:sz w:val="32"/>
          <w:u w:val="single"/>
        </w:rPr>
        <w:t xml:space="preserve">   </w:t>
      </w:r>
      <w:r>
        <w:rPr>
          <w:rFonts w:hint="eastAsia" w:ascii="仿宋_GB2312" w:hAnsi="宋体" w:eastAsia="仿宋_GB2312"/>
          <w:b w:val="0"/>
          <w:bCs/>
          <w:sz w:val="32"/>
          <w:u w:val="single"/>
        </w:rPr>
        <w:t>于都县金融服务中心</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ind w:firstLine="1449" w:firstLineChars="453"/>
        <w:rPr>
          <w:rFonts w:hint="eastAsia" w:ascii="仿宋_GB2312" w:hAnsi="宋体" w:eastAsia="仿宋_GB2312"/>
          <w:sz w:val="32"/>
        </w:rPr>
      </w:pPr>
    </w:p>
    <w:p>
      <w:pPr>
        <w:ind w:firstLine="964" w:firstLineChars="300"/>
        <w:rPr>
          <w:rFonts w:hint="eastAsia" w:ascii="仿宋_GB2312" w:hAnsi="宋体" w:eastAsia="仿宋_GB2312"/>
          <w:b/>
          <w:sz w:val="32"/>
          <w:u w:val="single"/>
        </w:rPr>
      </w:pPr>
      <w:r>
        <w:rPr>
          <w:rFonts w:hint="eastAsia" w:ascii="仿宋_GB2312" w:hAnsi="宋体" w:eastAsia="仿宋_GB2312"/>
          <w:b/>
          <w:sz w:val="32"/>
        </w:rPr>
        <w:t>调研组负责人:</w:t>
      </w:r>
      <w:r>
        <w:rPr>
          <w:rFonts w:ascii="仿宋_GB2312" w:hAnsi="宋体" w:eastAsia="仿宋_GB2312"/>
          <w:b/>
          <w:sz w:val="32"/>
        </w:rPr>
        <w:t xml:space="preserve"> </w:t>
      </w:r>
      <w:r>
        <w:rPr>
          <w:rFonts w:ascii="仿宋_GB2312" w:hAnsi="宋体" w:eastAsia="仿宋_GB2312"/>
          <w:b/>
          <w:sz w:val="32"/>
          <w:u w:val="single"/>
        </w:rPr>
        <w:t xml:space="preserve">        </w:t>
      </w:r>
      <w:r>
        <w:rPr>
          <w:rFonts w:hint="eastAsia" w:ascii="仿宋_GB2312" w:hAnsi="宋体" w:eastAsia="仿宋_GB2312"/>
          <w:b w:val="0"/>
          <w:bCs/>
          <w:sz w:val="32"/>
          <w:u w:val="single"/>
          <w:lang w:val="en-US" w:eastAsia="zh-CN"/>
        </w:rPr>
        <w:t>姜飞</w:t>
      </w:r>
      <w:r>
        <w:rPr>
          <w:rFonts w:ascii="仿宋_GB2312" w:hAnsi="宋体" w:eastAsia="仿宋_GB2312"/>
          <w:b w:val="0"/>
          <w:bCs/>
          <w:sz w:val="32"/>
          <w:u w:val="single"/>
        </w:rPr>
        <w:t xml:space="preserve"> </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rPr>
          <w:rFonts w:hint="eastAsia" w:ascii="仿宋_GB2312" w:hAnsi="宋体" w:eastAsia="仿宋_GB2312"/>
          <w:sz w:val="32"/>
          <w:u w:val="single"/>
        </w:rPr>
      </w:pPr>
    </w:p>
    <w:p>
      <w:pPr>
        <w:ind w:firstLine="964" w:firstLineChars="300"/>
        <w:rPr>
          <w:rFonts w:hint="eastAsia" w:ascii="仿宋_GB2312" w:hAnsi="宋体" w:eastAsia="仿宋_GB2312"/>
          <w:b/>
          <w:sz w:val="28"/>
          <w:szCs w:val="28"/>
          <w:u w:val="single"/>
        </w:rPr>
      </w:pPr>
      <w:r>
        <w:rPr>
          <w:rFonts w:hint="eastAsia" w:ascii="仿宋_GB2312" w:hAnsi="宋体" w:eastAsia="仿宋_GB2312"/>
          <w:b/>
          <w:sz w:val="32"/>
        </w:rPr>
        <w:t xml:space="preserve">调研组成员: </w:t>
      </w:r>
      <w:r>
        <w:rPr>
          <w:rFonts w:hint="eastAsia" w:ascii="仿宋_GB2312" w:hAnsi="宋体" w:eastAsia="仿宋_GB2312"/>
          <w:b w:val="0"/>
          <w:bCs/>
          <w:sz w:val="28"/>
          <w:szCs w:val="28"/>
          <w:u w:val="single"/>
          <w:lang w:val="en-US" w:eastAsia="zh-CN"/>
        </w:rPr>
        <w:t>李志宏、谢善文、赖明君、程靖渝、易伟军</w:t>
      </w:r>
    </w:p>
    <w:p>
      <w:pPr>
        <w:spacing w:line="225" w:lineRule="atLeast"/>
        <w:rPr>
          <w:rFonts w:hint="eastAsia" w:ascii="宋体" w:hAnsi="宋体"/>
          <w:sz w:val="32"/>
        </w:rPr>
      </w:pPr>
    </w:p>
    <w:p>
      <w:pPr>
        <w:spacing w:line="225" w:lineRule="atLeast"/>
        <w:rPr>
          <w:rFonts w:hint="eastAsia" w:ascii="宋体" w:hAnsi="宋体"/>
          <w:sz w:val="32"/>
        </w:rPr>
      </w:pPr>
    </w:p>
    <w:p>
      <w:pPr>
        <w:spacing w:line="225" w:lineRule="atLeast"/>
        <w:rPr>
          <w:rFonts w:hint="eastAsia" w:ascii="宋体" w:hAnsi="宋体"/>
          <w:sz w:val="32"/>
        </w:rPr>
      </w:pPr>
    </w:p>
    <w:p>
      <w:pPr>
        <w:spacing w:line="225" w:lineRule="atLeast"/>
        <w:jc w:val="center"/>
        <w:outlineLvl w:val="0"/>
        <w:rPr>
          <w:rFonts w:hint="eastAsia" w:ascii="仿宋_GB2312" w:hAnsi="宋体" w:eastAsia="仿宋_GB2312"/>
          <w:b/>
          <w:sz w:val="32"/>
          <w:szCs w:val="32"/>
        </w:rPr>
      </w:pPr>
      <w:bookmarkStart w:id="0" w:name="_Toc2423"/>
      <w:bookmarkStart w:id="1" w:name="_Toc4785"/>
      <w:r>
        <w:rPr>
          <w:rFonts w:hint="eastAsia" w:ascii="仿宋_GB2312" w:eastAsia="仿宋_GB2312"/>
          <w:b/>
          <w:sz w:val="32"/>
          <w:szCs w:val="32"/>
        </w:rPr>
        <w:t>中国证券业协会</w:t>
      </w:r>
      <w:bookmarkEnd w:id="0"/>
      <w:bookmarkEnd w:id="1"/>
    </w:p>
    <w:p>
      <w:pPr>
        <w:spacing w:line="225" w:lineRule="atLeast"/>
        <w:jc w:val="center"/>
        <w:rPr>
          <w:rFonts w:hint="eastAsia" w:ascii="仿宋_GB2312" w:eastAsia="仿宋_GB2312"/>
          <w:b/>
          <w:sz w:val="32"/>
          <w:szCs w:val="32"/>
        </w:rPr>
      </w:pPr>
      <w:r>
        <w:rPr>
          <w:rFonts w:hint="eastAsia" w:ascii="仿宋_GB2312" w:eastAsia="仿宋_GB2312"/>
          <w:b/>
          <w:sz w:val="32"/>
          <w:szCs w:val="32"/>
        </w:rPr>
        <w:t>2022年8月</w:t>
      </w:r>
    </w:p>
    <w:p>
      <w:pPr>
        <w:rPr>
          <w:rFonts w:hint="eastAsia" w:ascii="仿宋_GB2312" w:eastAsia="仿宋_GB2312"/>
          <w:b/>
          <w:sz w:val="32"/>
          <w:szCs w:val="32"/>
          <w:lang w:val="en-US" w:eastAsia="zh-CN"/>
        </w:rPr>
      </w:pPr>
      <w:r>
        <w:rPr>
          <w:rFonts w:hint="eastAsia" w:ascii="仿宋_GB2312" w:eastAsia="仿宋_GB2312"/>
          <w:b/>
          <w:sz w:val="32"/>
          <w:szCs w:val="32"/>
          <w:lang w:val="en-US" w:eastAsia="zh-CN"/>
        </w:rPr>
        <w:br w:type="page"/>
      </w:r>
    </w:p>
    <w:p>
      <w:pPr>
        <w:jc w:val="center"/>
        <w:outlineLvl w:val="0"/>
        <w:rPr>
          <w:rFonts w:hint="eastAsia" w:ascii="黑体" w:hAnsi="黑体" w:eastAsia="黑体" w:cs="黑体"/>
          <w:sz w:val="32"/>
          <w:szCs w:val="32"/>
          <w:lang w:val="en-US" w:eastAsia="zh-CN"/>
        </w:rPr>
      </w:pPr>
      <w:bookmarkStart w:id="2" w:name="_Toc22"/>
      <w:r>
        <w:rPr>
          <w:rFonts w:hint="eastAsia" w:ascii="黑体" w:hAnsi="黑体" w:eastAsia="黑体" w:cs="黑体"/>
          <w:sz w:val="32"/>
          <w:szCs w:val="32"/>
          <w:lang w:val="en-US" w:eastAsia="zh-CN"/>
        </w:rPr>
        <w:t>摘  要</w:t>
      </w:r>
      <w:bookmarkEnd w:id="2"/>
    </w:p>
    <w:p>
      <w:pPr>
        <w:spacing w:line="360" w:lineRule="auto"/>
        <w:ind w:firstLine="480" w:firstLineChars="200"/>
        <w:rPr>
          <w:rFonts w:hint="default" w:ascii="宋体" w:hAnsi="宋体" w:eastAsia="宋体" w:cs="宋体"/>
          <w:sz w:val="24"/>
          <w:szCs w:val="24"/>
          <w:lang w:val="en-US" w:eastAsia="zh-CN"/>
        </w:rPr>
      </w:pPr>
    </w:p>
    <w:p>
      <w:pPr>
        <w:spacing w:line="360" w:lineRule="auto"/>
        <w:ind w:firstLine="480" w:firstLineChars="200"/>
        <w:rPr>
          <w:rFonts w:hint="default"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我国县域经济承担着促进区域持续健康发展的战略使命，更担负着生态环保、乡村振兴及推动城乡建设一体化的重任。</w:t>
      </w:r>
      <w:r>
        <w:rPr>
          <w:rFonts w:hint="eastAsia" w:ascii="宋体" w:hAnsi="宋体" w:eastAsia="宋体" w:cs="宋体"/>
          <w:sz w:val="24"/>
          <w:szCs w:val="24"/>
          <w:lang w:val="en-US" w:eastAsia="zh-CN"/>
        </w:rPr>
        <w:t>为巩固公司“一司一县”结对帮扶成果，发挥公司专业优势服务县域经济发展,本文以我司结对帮扶县江西省于都县梓山镇为例，通过实地调研，对其富硒产业发展状况，特别是有代表性的富硒大米产业现状进行分析，并结合乡村振兴发展提出了我们的意见和建议。</w:t>
      </w:r>
    </w:p>
    <w:p>
      <w:pPr>
        <w:keepNext w:val="0"/>
        <w:keepLines w:val="0"/>
        <w:widowControl/>
        <w:suppressLineNumbers w:val="0"/>
        <w:spacing w:line="360" w:lineRule="auto"/>
        <w:ind w:firstLine="482" w:firstLineChars="200"/>
        <w:jc w:val="left"/>
        <w:outlineLvl w:val="0"/>
      </w:pPr>
      <w:bookmarkStart w:id="3" w:name="_Toc28378"/>
      <w:r>
        <w:rPr>
          <w:rFonts w:hint="eastAsia" w:ascii="宋体" w:hAnsi="宋体" w:eastAsia="宋体" w:cs="宋体"/>
          <w:b/>
          <w:bCs/>
          <w:color w:val="000000"/>
          <w:kern w:val="0"/>
          <w:sz w:val="24"/>
          <w:szCs w:val="24"/>
          <w:lang w:val="en-US" w:eastAsia="zh-CN" w:bidi="ar"/>
        </w:rPr>
        <w:t>关键词：</w:t>
      </w:r>
      <w:r>
        <w:rPr>
          <w:rFonts w:hint="eastAsia" w:ascii="宋体" w:hAnsi="宋体" w:eastAsia="宋体" w:cs="宋体"/>
          <w:color w:val="000000"/>
          <w:kern w:val="0"/>
          <w:sz w:val="24"/>
          <w:szCs w:val="24"/>
          <w:lang w:val="en-US" w:eastAsia="zh-CN" w:bidi="ar"/>
        </w:rPr>
        <w:t xml:space="preserve">富硒产业、现代农业 </w:t>
      </w:r>
      <w:r>
        <w:rPr>
          <w:rFonts w:hint="eastAsia" w:ascii="宋体" w:hAnsi="宋体" w:eastAsia="宋体" w:cs="宋体"/>
          <w:sz w:val="24"/>
          <w:szCs w:val="24"/>
          <w:lang w:val="en-US" w:eastAsia="zh-CN"/>
        </w:rPr>
        <w:t>三产融合</w:t>
      </w:r>
      <w:bookmarkEnd w:id="3"/>
    </w:p>
    <w:p>
      <w:pPr>
        <w:spacing w:line="360" w:lineRule="auto"/>
        <w:rPr>
          <w:rFonts w:hint="default" w:ascii="黑体" w:hAnsi="黑体" w:eastAsia="黑体" w:cs="黑体"/>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59053"/>
        <w15:color w:val="DBDBDB"/>
        <w:docPartObj>
          <w:docPartGallery w:val="Table of Contents"/>
          <w:docPartUnique/>
        </w:docPartObj>
      </w:sdtPr>
      <w:sdtEndPr>
        <w:rPr>
          <w:rFonts w:hint="eastAsia" w:ascii="宋体" w:hAnsi="宋体" w:eastAsia="宋体" w:cs="宋体"/>
          <w:sz w:val="24"/>
          <w:szCs w:val="24"/>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4" w:name="_Toc14118"/>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bookmarkStart w:id="11" w:name="_GoBack"/>
          <w:bookmarkEnd w:id="11"/>
        </w:p>
        <w:p>
          <w:pPr>
            <w:pStyle w:val="11"/>
            <w:tabs>
              <w:tab w:val="right" w:leader="dot" w:pos="8306"/>
            </w:tabs>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p>
        <w:p>
          <w:pPr>
            <w:pStyle w:val="11"/>
            <w:tabs>
              <w:tab w:val="right" w:leader="dot" w:pos="8306"/>
            </w:tabs>
            <w:spacing w:line="360" w:lineRule="auto"/>
            <w:rPr>
              <w:rFonts w:hint="eastAsia" w:ascii="宋体" w:hAnsi="宋体" w:eastAsia="宋体" w:cs="宋体"/>
              <w:sz w:val="24"/>
              <w:szCs w:val="24"/>
            </w:rPr>
          </w:pPr>
        </w:p>
        <w:p>
          <w:pPr>
            <w:pStyle w:val="11"/>
            <w:tabs>
              <w:tab w:val="right" w:leader="dot" w:pos="8306"/>
            </w:tabs>
            <w:spacing w:line="480" w:lineRule="auto"/>
            <w:rPr>
              <w:rFonts w:hint="eastAsia" w:ascii="宋体" w:hAnsi="宋体" w:eastAsia="宋体" w:cs="宋体"/>
              <w:sz w:val="24"/>
              <w:szCs w:val="24"/>
            </w:rPr>
          </w:pPr>
        </w:p>
        <w:p>
          <w:pPr>
            <w:pStyle w:val="11"/>
            <w:tabs>
              <w:tab w:val="right" w:leader="dot" w:pos="8306"/>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_Toc16408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一、梓山镇富硒产业发展概述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_Toc16408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_Toc23463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二、梓山镇富硒产业发展成效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_Toc23463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三、发展中存在的困难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_Toc5773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四、推动富硒产业发展建议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_Toc5773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参考资料：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end"/>
          </w:r>
        </w:p>
      </w:sdtContent>
    </w:sdt>
    <w:p>
      <w:pPr>
        <w:pStyle w:val="2"/>
        <w:bidi w:val="0"/>
        <w:spacing w:line="360" w:lineRule="auto"/>
        <w:jc w:val="center"/>
        <w:rPr>
          <w:rFonts w:hint="eastAsia" w:ascii="黑体" w:hAnsi="黑体" w:eastAsia="黑体" w:cs="黑体"/>
          <w:sz w:val="32"/>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5" w:name="_Toc17833"/>
    </w:p>
    <w:p>
      <w:pPr>
        <w:pStyle w:val="2"/>
        <w:bidi w:val="0"/>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于都县梓山镇富硒产业转型升级调研报告</w:t>
      </w:r>
      <w:bookmarkEnd w:id="4"/>
      <w:bookmarkEnd w:id="5"/>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巩固公司“一司一县”结对帮扶成果，助力“证券行业促进乡村振兴公益行动”课题研究平台建设，发挥公司专业优势服务县域经济发展。国盛证券组织调研组联合于都县金融服务中心于2022年7月-8月对于都县乡村特色产业转型升级情况进行了调研。调研组通过查阅文件、问卷调查、座谈和走访交流等方式，对于都县梓山镇富硒产业发展状况进行了调研，特别是着重分析了有代表性的富硒大米产业现状，并结合乡村振兴发展提出了我们的意见和建议。</w:t>
      </w:r>
    </w:p>
    <w:p>
      <w:pPr>
        <w:pStyle w:val="3"/>
        <w:numPr>
          <w:ilvl w:val="0"/>
          <w:numId w:val="0"/>
        </w:numPr>
        <w:spacing w:line="360" w:lineRule="auto"/>
        <w:ind w:firstLine="602" w:firstLineChars="200"/>
        <w:outlineLvl w:val="0"/>
        <w:rPr>
          <w:rFonts w:hint="eastAsia" w:ascii="黑体" w:hAnsi="黑体" w:eastAsia="黑体" w:cs="黑体"/>
          <w:b/>
          <w:bCs/>
          <w:kern w:val="2"/>
          <w:sz w:val="30"/>
          <w:szCs w:val="30"/>
          <w:lang w:val="en-US" w:eastAsia="zh-CN" w:bidi="ar-SA"/>
        </w:rPr>
      </w:pPr>
      <w:bookmarkStart w:id="6" w:name="_Toc16408"/>
      <w:r>
        <w:rPr>
          <w:rFonts w:hint="eastAsia" w:ascii="黑体" w:hAnsi="黑体" w:eastAsia="黑体" w:cs="黑体"/>
          <w:b/>
          <w:bCs/>
          <w:kern w:val="2"/>
          <w:sz w:val="30"/>
          <w:szCs w:val="30"/>
          <w:lang w:val="en-US" w:eastAsia="zh-CN" w:bidi="ar-SA"/>
        </w:rPr>
        <w:t>一、梓山镇富硒产业发展概述</w:t>
      </w:r>
      <w:bookmarkEnd w:id="6"/>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梓山镇地处江西省赣州市于都县城东部，东西长达24公里，南北纵横20公里，相传因盛产木梓而有木梓山之说，故得名“梓山”。梓山镇区位优势明显，作为于都县城的东大门，323国道、宁安高速、赣龙铁路穿境而过，境内设有于都东高速出入口,交通便利，随着高铁和中欧班列开通，于都县融入赣州市一小时经济圈，距粤港澳大湾区核心地带只有3小时车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梓山镇自然条件优越，气候温和湿润，水利资源丰富，土地平整集中连片，土壤富硒平均含量0.35mg/kg,富硒土壤面积广阔，硒资源丰富，经专业机构检测论证，大米、脐橙、蔬菜、家禽等都可发展“富硒”产业。</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梓山自古以来就是农业大镇，下辖24个村，2个居委会，375个村民小组，</w:t>
      </w:r>
      <w:r>
        <w:rPr>
          <w:rFonts w:hint="default" w:ascii="宋体" w:hAnsi="宋体" w:eastAsia="宋体" w:cs="宋体"/>
          <w:sz w:val="24"/>
          <w:szCs w:val="24"/>
          <w:lang w:val="en-US" w:eastAsia="zh-CN"/>
        </w:rPr>
        <w:t>国土面积174平方公里，其中耕地面积37139亩，山地面积177398亩，水域面积14997亩，总人口7</w:t>
      </w:r>
      <w:r>
        <w:rPr>
          <w:rFonts w:hint="eastAsia" w:ascii="宋体" w:hAnsi="宋体" w:eastAsia="宋体" w:cs="宋体"/>
          <w:sz w:val="24"/>
          <w:szCs w:val="24"/>
          <w:lang w:val="en-US" w:eastAsia="zh-CN"/>
        </w:rPr>
        <w:t>.2万</w:t>
      </w:r>
      <w:r>
        <w:rPr>
          <w:rFonts w:hint="default" w:ascii="宋体" w:hAnsi="宋体" w:eastAsia="宋体" w:cs="宋体"/>
          <w:sz w:val="24"/>
          <w:szCs w:val="24"/>
          <w:lang w:val="en-US" w:eastAsia="zh-CN"/>
        </w:rPr>
        <w:t>人，其中农业人口6.4万人。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年，梓山镇发挥自身优势引进多家蔬菜龙头企业，围绕潭头村投资12亿元建设了1万余亩的高标准现代富硒农业产业园-梓山富硒蔬菜产业园。特别是2019年5月20日，习近平总书记亲临梓山镇潭头村和蔬菜基地视察，指示“一定要把富硒这个品牌打好”。梓山镇以此为契机，引进了中化农业、江粮集团、赣粮集团等龙头企业，建成万亩富硒水稻基地，开展订单种植。同时整合24个村（居）合作社和于都县伍贰零农业种植专业合作社成立于都县梓山镇穗丰农业有限公司（以下简称“穗丰公司”），农民通过入股等形式参与，目前已形成万亩富硒水稻规模。</w:t>
      </w:r>
    </w:p>
    <w:p>
      <w:pPr>
        <w:pStyle w:val="3"/>
        <w:numPr>
          <w:ilvl w:val="0"/>
          <w:numId w:val="0"/>
        </w:numPr>
        <w:spacing w:line="360" w:lineRule="auto"/>
        <w:ind w:firstLine="602" w:firstLineChars="200"/>
        <w:outlineLvl w:val="0"/>
        <w:rPr>
          <w:rFonts w:hint="eastAsia" w:ascii="黑体" w:hAnsi="黑体" w:eastAsia="黑体" w:cs="黑体"/>
          <w:b/>
          <w:bCs/>
          <w:kern w:val="2"/>
          <w:sz w:val="30"/>
          <w:szCs w:val="30"/>
          <w:lang w:val="en-US" w:eastAsia="zh-CN" w:bidi="ar-SA"/>
        </w:rPr>
      </w:pPr>
      <w:bookmarkStart w:id="7" w:name="_Toc23463"/>
      <w:r>
        <w:rPr>
          <w:rFonts w:hint="eastAsia" w:ascii="黑体" w:hAnsi="黑体" w:eastAsia="黑体" w:cs="黑体"/>
          <w:b/>
          <w:bCs/>
          <w:kern w:val="2"/>
          <w:sz w:val="30"/>
          <w:szCs w:val="30"/>
          <w:lang w:val="en-US" w:eastAsia="zh-CN" w:bidi="ar-SA"/>
        </w:rPr>
        <w:t>二、梓山镇富硒产业发展成效</w:t>
      </w:r>
      <w:bookmarkEnd w:id="7"/>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1.现代农业建设平稳推进。梓山镇在水稻生产销售方面依托引进龙头企业，通过强化人员</w:t>
      </w:r>
      <w:r>
        <w:rPr>
          <w:rFonts w:hint="eastAsia" w:ascii="宋体" w:hAnsi="宋体" w:eastAsia="宋体" w:cs="宋体"/>
          <w:sz w:val="24"/>
          <w:szCs w:val="24"/>
          <w:lang w:val="zh-CN" w:eastAsia="zh-CN"/>
        </w:rPr>
        <w:t>技术培训、</w:t>
      </w:r>
      <w:r>
        <w:rPr>
          <w:rFonts w:hint="eastAsia" w:ascii="宋体" w:hAnsi="宋体" w:eastAsia="宋体" w:cs="宋体"/>
          <w:sz w:val="24"/>
          <w:szCs w:val="24"/>
          <w:lang w:val="en-US" w:eastAsia="zh-CN"/>
        </w:rPr>
        <w:t>选种育种</w:t>
      </w:r>
      <w:r>
        <w:rPr>
          <w:rFonts w:hint="eastAsia" w:ascii="宋体" w:hAnsi="宋体" w:eastAsia="宋体" w:cs="宋体"/>
          <w:sz w:val="24"/>
          <w:szCs w:val="24"/>
          <w:lang w:val="zh-CN" w:eastAsia="zh-CN"/>
        </w:rPr>
        <w:t>和田间管理</w:t>
      </w:r>
      <w:r>
        <w:rPr>
          <w:rFonts w:hint="eastAsia" w:ascii="宋体" w:hAnsi="宋体" w:eastAsia="宋体" w:cs="宋体"/>
          <w:sz w:val="24"/>
          <w:szCs w:val="24"/>
          <w:lang w:val="en-US" w:eastAsia="zh-CN"/>
        </w:rPr>
        <w:t>等</w:t>
      </w:r>
      <w:r>
        <w:rPr>
          <w:rFonts w:hint="eastAsia" w:ascii="宋体" w:hAnsi="宋体" w:eastAsia="宋体" w:cs="宋体"/>
          <w:sz w:val="24"/>
          <w:szCs w:val="24"/>
          <w:lang w:val="zh-CN" w:eastAsia="zh-CN"/>
        </w:rPr>
        <w:t>，实现了</w:t>
      </w:r>
      <w:r>
        <w:rPr>
          <w:rFonts w:hint="eastAsia" w:ascii="宋体" w:hAnsi="宋体" w:eastAsia="宋体" w:cs="宋体"/>
          <w:sz w:val="24"/>
          <w:szCs w:val="24"/>
          <w:lang w:val="en-US" w:eastAsia="zh-CN"/>
        </w:rPr>
        <w:t>富硒水稻生产的</w:t>
      </w:r>
      <w:r>
        <w:rPr>
          <w:rFonts w:hint="eastAsia" w:ascii="宋体" w:hAnsi="宋体" w:eastAsia="宋体" w:cs="宋体"/>
          <w:sz w:val="24"/>
          <w:szCs w:val="24"/>
          <w:lang w:val="zh-CN" w:eastAsia="zh-CN"/>
        </w:rPr>
        <w:t>规模化、标准化</w:t>
      </w:r>
      <w:r>
        <w:rPr>
          <w:rFonts w:hint="eastAsia" w:ascii="宋体" w:hAnsi="宋体" w:eastAsia="宋体" w:cs="宋体"/>
          <w:sz w:val="24"/>
          <w:szCs w:val="24"/>
          <w:lang w:val="en-US" w:eastAsia="zh-CN"/>
        </w:rPr>
        <w:t>。设立中化农业MAP（现代农业技术服务平台）示范农场，业务覆盖水稻、蔬菜、脐橙等粮食经济作物。农场成立了由7名农技专家组成的技术服务中心，服务范围涵盖品种优选、测土施肥、定制配药、农民培训、智慧农业以及农业金融、品牌打造等。目前示范农场已成为当地高产示范区、品种筛选试验区和植保试验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保证果蔬作物绿色有机健康，蔬菜基地引进农业专家进行技术指导，采用荷兰、以色列先进的栽培模式，着力提升果蔬生产过程的品种培优、品质提升、品牌打造和标准化生产（“三品一标”）水平，完善生物农药和绿色防控技术，推广应用智慧农业管理系统。</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龙头企业带动作用显著。蔬菜龙头企业在梓山镇建立了“龙头企业+合作社+基地+农户”的模式，当地村民积极流转土地给企业进行规模化种植，企业再将大棚返租给群众，由企业统一供苗、统一培训、统一销售。农户获得了“租金、薪金、创业金”收入，即土地流转得租金、劳务用工得薪金、反租大棚得创业金。</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当地农户通过入股村集体合作社，获得穗丰公司提供的入股资金10%的保底产业分红和部分经营利润的二次分红。此外，穗丰公司自成立伊始即高度重视产品质量，严把原粮收购关，对农户送进厂的原粮只有检验合格才允许收购入库储藏，对加工厂生产的大米进行硒元素和重金属残留等质量检测，确保富硒大米质量符合国家硒强化保健大米标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三产融合日益拓展。梓山镇依托“富硒+”优势打造三产发展新业态。发挥梓山万亩蔬菜产业园区水、电、路、通信等配套设施齐全优势，建设果蔬采摘、河道花海、亲子乐园等功能区，配套建设集硒知识科普、硒产品销售于一体的中国·于都硒博馆，通过“富硒+旅游”的模式打造宜业宜居宜游的蔬菜主题体验园。整合</w:t>
      </w:r>
      <w:r>
        <w:rPr>
          <w:rFonts w:hint="default" w:ascii="宋体" w:hAnsi="宋体" w:eastAsia="宋体" w:cs="宋体"/>
          <w:sz w:val="24"/>
          <w:szCs w:val="24"/>
          <w:lang w:val="en-US" w:eastAsia="zh-CN"/>
        </w:rPr>
        <w:t>潭头</w:t>
      </w:r>
      <w:r>
        <w:rPr>
          <w:rFonts w:hint="eastAsia" w:ascii="宋体" w:hAnsi="宋体" w:eastAsia="宋体" w:cs="宋体"/>
          <w:sz w:val="24"/>
          <w:szCs w:val="24"/>
          <w:lang w:val="en-US" w:eastAsia="zh-CN"/>
        </w:rPr>
        <w:t>村</w:t>
      </w:r>
      <w:r>
        <w:rPr>
          <w:rFonts w:hint="default" w:ascii="宋体" w:hAnsi="宋体" w:eastAsia="宋体" w:cs="宋体"/>
          <w:sz w:val="24"/>
          <w:szCs w:val="24"/>
          <w:lang w:val="en-US" w:eastAsia="zh-CN"/>
        </w:rPr>
        <w:t>及周边“红、古、绿”资源，以</w:t>
      </w:r>
      <w:r>
        <w:rPr>
          <w:rFonts w:hint="eastAsia" w:ascii="宋体" w:hAnsi="宋体" w:eastAsia="宋体" w:cs="宋体"/>
          <w:sz w:val="24"/>
          <w:szCs w:val="24"/>
          <w:lang w:val="en-US" w:eastAsia="zh-CN"/>
        </w:rPr>
        <w:t>建设</w:t>
      </w:r>
      <w:r>
        <w:rPr>
          <w:rFonts w:hint="default" w:ascii="宋体" w:hAnsi="宋体" w:eastAsia="宋体" w:cs="宋体"/>
          <w:sz w:val="24"/>
          <w:szCs w:val="24"/>
          <w:lang w:val="en-US" w:eastAsia="zh-CN"/>
        </w:rPr>
        <w:t>“文创小镇”“文艺名村”为目标，</w:t>
      </w:r>
      <w:r>
        <w:rPr>
          <w:rFonts w:hint="eastAsia" w:ascii="宋体" w:hAnsi="宋体" w:eastAsia="宋体" w:cs="宋体"/>
          <w:sz w:val="24"/>
          <w:szCs w:val="24"/>
          <w:lang w:val="en-US" w:eastAsia="zh-CN"/>
        </w:rPr>
        <w:t>吸引</w:t>
      </w:r>
      <w:r>
        <w:rPr>
          <w:rFonts w:hint="default" w:ascii="宋体" w:hAnsi="宋体" w:eastAsia="宋体" w:cs="宋体"/>
          <w:sz w:val="24"/>
          <w:szCs w:val="24"/>
          <w:lang w:val="en-US" w:eastAsia="zh-CN"/>
        </w:rPr>
        <w:t>于都县琴棋书画摄影</w:t>
      </w:r>
      <w:r>
        <w:rPr>
          <w:rFonts w:hint="eastAsia" w:ascii="宋体" w:hAnsi="宋体" w:eastAsia="宋体" w:cs="宋体"/>
          <w:sz w:val="24"/>
          <w:szCs w:val="24"/>
          <w:lang w:val="en-US" w:eastAsia="zh-CN"/>
        </w:rPr>
        <w:t>等</w:t>
      </w:r>
      <w:r>
        <w:rPr>
          <w:rFonts w:hint="default" w:ascii="宋体" w:hAnsi="宋体" w:eastAsia="宋体" w:cs="宋体"/>
          <w:sz w:val="24"/>
          <w:szCs w:val="24"/>
          <w:lang w:val="en-US" w:eastAsia="zh-CN"/>
        </w:rPr>
        <w:t>协会入驻搭建工作室</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打造</w:t>
      </w:r>
      <w:r>
        <w:rPr>
          <w:rFonts w:hint="eastAsia" w:ascii="宋体" w:hAnsi="宋体" w:eastAsia="宋体" w:cs="宋体"/>
          <w:sz w:val="24"/>
          <w:szCs w:val="24"/>
          <w:lang w:val="en-US" w:eastAsia="zh-CN"/>
        </w:rPr>
        <w:t>“富硒+文化”的</w:t>
      </w:r>
      <w:r>
        <w:rPr>
          <w:rFonts w:hint="default" w:ascii="宋体" w:hAnsi="宋体" w:eastAsia="宋体" w:cs="宋体"/>
          <w:sz w:val="24"/>
          <w:szCs w:val="24"/>
          <w:lang w:val="en-US" w:eastAsia="zh-CN"/>
        </w:rPr>
        <w:t>于都梓山香樟园文艺创作基地，常态化开展文艺创作、研讨、采风等活动，努力发展书画交易、客家民宿、特色餐饮、果蔬采摘等产业，积极探索乡村振兴的新模式、新路子。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济效益显著提高。目前梓山镇万亩富硒水稻基地已获得国家优质粮食工程项目支持，其相关各类产品已进入832扶贫电商平台进行销售，并同时在北京、南昌以及浙江等地线下上市，各类蔬菜更是销往粤港澳大湾区及搭乘中欧班列出口国外。不少农户通过“富硒+互联网”方式助力富硒产品销售，目前</w:t>
      </w:r>
      <w:r>
        <w:rPr>
          <w:rFonts w:hint="default" w:ascii="宋体" w:hAnsi="宋体" w:eastAsia="宋体" w:cs="宋体"/>
          <w:sz w:val="24"/>
          <w:szCs w:val="24"/>
          <w:lang w:val="en-US" w:eastAsia="zh-CN"/>
        </w:rPr>
        <w:t>本土头部网红全网粉丝</w:t>
      </w:r>
      <w:r>
        <w:rPr>
          <w:rFonts w:hint="eastAsia" w:ascii="宋体" w:hAnsi="宋体" w:eastAsia="宋体" w:cs="宋体"/>
          <w:sz w:val="24"/>
          <w:szCs w:val="24"/>
          <w:lang w:val="en-US" w:eastAsia="zh-CN"/>
        </w:rPr>
        <w:t>已</w:t>
      </w:r>
      <w:r>
        <w:rPr>
          <w:rFonts w:hint="default" w:ascii="宋体" w:hAnsi="宋体" w:eastAsia="宋体" w:cs="宋体"/>
          <w:sz w:val="24"/>
          <w:szCs w:val="24"/>
          <w:lang w:val="en-US" w:eastAsia="zh-CN"/>
        </w:rPr>
        <w:t>达700</w:t>
      </w:r>
      <w:r>
        <w:rPr>
          <w:rFonts w:hint="eastAsia" w:ascii="宋体" w:hAnsi="宋体" w:eastAsia="宋体" w:cs="宋体"/>
          <w:sz w:val="24"/>
          <w:szCs w:val="24"/>
          <w:lang w:val="en-US" w:eastAsia="zh-CN"/>
        </w:rPr>
        <w:t>万</w:t>
      </w:r>
      <w:r>
        <w:rPr>
          <w:rFonts w:hint="default" w:ascii="宋体" w:hAnsi="宋体" w:eastAsia="宋体" w:cs="宋体"/>
          <w:sz w:val="24"/>
          <w:szCs w:val="24"/>
          <w:lang w:val="en-US" w:eastAsia="zh-CN"/>
        </w:rPr>
        <w:t>，单场带货能力</w:t>
      </w:r>
      <w:r>
        <w:rPr>
          <w:rFonts w:hint="eastAsia" w:ascii="宋体" w:hAnsi="宋体" w:eastAsia="宋体" w:cs="宋体"/>
          <w:sz w:val="24"/>
          <w:szCs w:val="24"/>
          <w:lang w:val="en-US" w:eastAsia="zh-CN"/>
        </w:rPr>
        <w:t>超</w:t>
      </w:r>
      <w:r>
        <w:rPr>
          <w:rFonts w:hint="default" w:ascii="宋体" w:hAnsi="宋体" w:eastAsia="宋体" w:cs="宋体"/>
          <w:sz w:val="24"/>
          <w:szCs w:val="24"/>
          <w:lang w:val="en-US" w:eastAsia="zh-CN"/>
        </w:rPr>
        <w:t>20</w:t>
      </w:r>
      <w:r>
        <w:rPr>
          <w:rFonts w:hint="eastAsia" w:ascii="宋体" w:hAnsi="宋体" w:eastAsia="宋体" w:cs="宋体"/>
          <w:sz w:val="24"/>
          <w:szCs w:val="24"/>
          <w:lang w:val="en-US" w:eastAsia="zh-CN"/>
        </w:rPr>
        <w:t>万元，有效提升了富硒产品销售覆盖范围和美誉度。富硒产品具有品质高、产量低、功能性和口味好等特点，经济效益显著。具体种植面积、产量及单价见下表：</w:t>
      </w:r>
    </w:p>
    <w:p>
      <w:pPr>
        <w:spacing w:line="360" w:lineRule="auto"/>
        <w:ind w:firstLine="480" w:firstLineChars="200"/>
        <w:rPr>
          <w:rFonts w:hint="eastAsia" w:ascii="宋体" w:hAnsi="宋体" w:eastAsia="宋体" w:cs="宋体"/>
          <w:sz w:val="24"/>
          <w:szCs w:val="24"/>
          <w:lang w:val="en-US" w:eastAsia="zh-CN"/>
        </w:rPr>
      </w:pPr>
    </w:p>
    <w:tbl>
      <w:tblPr>
        <w:tblStyle w:val="9"/>
        <w:tblpPr w:leftFromText="180" w:rightFromText="180" w:vertAnchor="text" w:horzAnchor="page" w:tblpX="1974" w:tblpY="164"/>
        <w:tblOverlap w:val="never"/>
        <w:tblW w:w="8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072"/>
        <w:gridCol w:w="196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品种</w:t>
            </w:r>
          </w:p>
        </w:tc>
        <w:tc>
          <w:tcPr>
            <w:tcW w:w="2072"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耕种面积（亩）</w:t>
            </w:r>
          </w:p>
        </w:tc>
        <w:tc>
          <w:tcPr>
            <w:tcW w:w="196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年产量（吨）</w:t>
            </w:r>
          </w:p>
        </w:tc>
        <w:tc>
          <w:tcPr>
            <w:tcW w:w="2347"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单价（元</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vertAlign w:val="baseli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富硒</w:t>
            </w:r>
            <w:r>
              <w:rPr>
                <w:rFonts w:hint="eastAsia" w:ascii="宋体" w:hAnsi="宋体" w:eastAsia="宋体" w:cs="宋体"/>
                <w:b w:val="0"/>
                <w:bCs w:val="0"/>
                <w:sz w:val="24"/>
                <w:szCs w:val="24"/>
                <w:vertAlign w:val="baseline"/>
                <w:lang w:val="en-US" w:eastAsia="zh-CN"/>
              </w:rPr>
              <w:t>水稻</w:t>
            </w:r>
          </w:p>
        </w:tc>
        <w:tc>
          <w:tcPr>
            <w:tcW w:w="2072"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20000</w:t>
            </w:r>
          </w:p>
        </w:tc>
        <w:tc>
          <w:tcPr>
            <w:tcW w:w="1965"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7000</w:t>
            </w:r>
          </w:p>
        </w:tc>
        <w:tc>
          <w:tcPr>
            <w:tcW w:w="2347"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富硒</w:t>
            </w:r>
            <w:r>
              <w:rPr>
                <w:rFonts w:hint="eastAsia" w:ascii="宋体" w:hAnsi="宋体" w:eastAsia="宋体" w:cs="宋体"/>
                <w:b w:val="0"/>
                <w:bCs w:val="0"/>
                <w:sz w:val="24"/>
                <w:szCs w:val="24"/>
                <w:lang w:val="en-US" w:eastAsia="zh-CN"/>
              </w:rPr>
              <w:t>蔬菜</w:t>
            </w:r>
          </w:p>
        </w:tc>
        <w:tc>
          <w:tcPr>
            <w:tcW w:w="2072"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10000</w:t>
            </w:r>
          </w:p>
        </w:tc>
        <w:tc>
          <w:tcPr>
            <w:tcW w:w="1965"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50000</w:t>
            </w:r>
          </w:p>
        </w:tc>
        <w:tc>
          <w:tcPr>
            <w:tcW w:w="2347"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富硒</w:t>
            </w:r>
            <w:r>
              <w:rPr>
                <w:rFonts w:hint="eastAsia" w:ascii="宋体" w:hAnsi="宋体" w:eastAsia="宋体" w:cs="宋体"/>
                <w:b w:val="0"/>
                <w:bCs w:val="0"/>
                <w:sz w:val="24"/>
                <w:szCs w:val="24"/>
                <w:lang w:val="en-US" w:eastAsia="zh-CN"/>
              </w:rPr>
              <w:t>脐橙</w:t>
            </w:r>
          </w:p>
        </w:tc>
        <w:tc>
          <w:tcPr>
            <w:tcW w:w="2072"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10000</w:t>
            </w:r>
          </w:p>
        </w:tc>
        <w:tc>
          <w:tcPr>
            <w:tcW w:w="1965"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10000</w:t>
            </w:r>
          </w:p>
        </w:tc>
        <w:tc>
          <w:tcPr>
            <w:tcW w:w="2347"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富硒茶油</w:t>
            </w:r>
          </w:p>
        </w:tc>
        <w:tc>
          <w:tcPr>
            <w:tcW w:w="2072"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10000</w:t>
            </w:r>
          </w:p>
        </w:tc>
        <w:tc>
          <w:tcPr>
            <w:tcW w:w="1965"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10000</w:t>
            </w:r>
          </w:p>
        </w:tc>
        <w:tc>
          <w:tcPr>
            <w:tcW w:w="2347"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富硒茶叶</w:t>
            </w:r>
          </w:p>
        </w:tc>
        <w:tc>
          <w:tcPr>
            <w:tcW w:w="2072"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w:t>
            </w:r>
          </w:p>
        </w:tc>
        <w:tc>
          <w:tcPr>
            <w:tcW w:w="1965"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2347" w:type="dxa"/>
          </w:tcPr>
          <w:p>
            <w:pPr>
              <w:spacing w:line="360" w:lineRule="auto"/>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1300-13000</w:t>
            </w:r>
          </w:p>
        </w:tc>
      </w:tr>
    </w:tbl>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资料来源：梓山县县政府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得益于利益联结新模式，如今当地农户平均年收入达5万元，比以前增长超过一倍。梓山镇经济发展成果也相继获得各级政府的肯定，2019年</w:t>
      </w:r>
      <w:r>
        <w:rPr>
          <w:rFonts w:hint="default" w:ascii="宋体" w:hAnsi="宋体" w:eastAsia="宋体" w:cs="宋体"/>
          <w:sz w:val="24"/>
          <w:szCs w:val="24"/>
          <w:lang w:val="en-US" w:eastAsia="zh-CN"/>
        </w:rPr>
        <w:t>潭头村获评省级生态文明示范基地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梓山镇列入2020年国家农业产业强镇。</w:t>
      </w:r>
    </w:p>
    <w:p>
      <w:pPr>
        <w:pStyle w:val="3"/>
        <w:numPr>
          <w:ilvl w:val="0"/>
          <w:numId w:val="0"/>
        </w:numPr>
        <w:spacing w:line="360" w:lineRule="auto"/>
        <w:ind w:firstLine="602" w:firstLineChars="200"/>
        <w:outlineLvl w:val="0"/>
        <w:rPr>
          <w:rFonts w:hint="default" w:ascii="黑体" w:hAnsi="黑体" w:eastAsia="黑体" w:cs="黑体"/>
          <w:b/>
          <w:bCs/>
          <w:kern w:val="2"/>
          <w:sz w:val="30"/>
          <w:szCs w:val="30"/>
          <w:lang w:val="en-US" w:eastAsia="zh-CN" w:bidi="ar-SA"/>
        </w:rPr>
      </w:pPr>
      <w:bookmarkStart w:id="8" w:name="_Toc4623"/>
      <w:r>
        <w:rPr>
          <w:rFonts w:hint="eastAsia" w:ascii="黑体" w:hAnsi="黑体" w:eastAsia="黑体" w:cs="黑体"/>
          <w:b/>
          <w:bCs/>
          <w:kern w:val="2"/>
          <w:sz w:val="30"/>
          <w:szCs w:val="30"/>
          <w:lang w:val="en-US" w:eastAsia="zh-CN" w:bidi="ar-SA"/>
        </w:rPr>
        <w:t>三、发展中存在的困难</w:t>
      </w:r>
      <w:bookmarkEnd w:id="8"/>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借鉴引进的蔬菜、水稻龙头企业在当地建立万亩富硒产业园成功经验的基础上，梓山镇通过整合24个村（居）成立了穗丰公司，以期复制外地龙头企业的成功。当前正值由乡村扶贫过渡到乡村振兴的转折阶段，对穗丰公司发展历程中所遇见的困难做好调研、分析原因、提出对策更具有现实意义。通过调研，我们认为穗丰公司目前主要面临以下制约其发展的困难：</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公司规模较小，产业聚集度有待提高。目前仅有40%的乡村产业集中在各类园区，其余为农户自种。由于缺少技术人员，对农户培训不足。选种工作还在推进中，工厂化育苗、机械化耕种和后期田间管理信息化程度不高。存在良田缺水灌溉现象，部分田块水利设施需要提升。上述困难直接影响了公司富硒大米的产量和质量。</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产业链配套延伸有待完善。粮食产业配套设施严重不足，无收纳库、缺烘干机。新配套的冷链物流产业园刚建设完毕，加工产业园还在建设中。公司富硒大米功能性定位不明晰，推动产品标准制定和认证意愿不强烈，未形成规模化的品牌效应，公司虽尝试将富硒米与传统小吃制作相结合，但其富硒大米主要还是以初级形态呈现，很大部分富硒产品靠自产自销或者依赖于本地企事业单位的采购支持，销售端</w:t>
      </w:r>
      <w:r>
        <w:rPr>
          <w:rFonts w:hint="default" w:ascii="宋体" w:hAnsi="宋体" w:eastAsia="宋体" w:cs="宋体"/>
          <w:sz w:val="24"/>
          <w:szCs w:val="24"/>
          <w:lang w:val="en-US" w:eastAsia="zh-CN"/>
        </w:rPr>
        <w:t>缺乏专业化市场运营主体。</w:t>
      </w:r>
      <w:r>
        <w:rPr>
          <w:rFonts w:hint="eastAsia" w:ascii="宋体" w:hAnsi="宋体" w:eastAsia="宋体" w:cs="宋体"/>
          <w:sz w:val="24"/>
          <w:szCs w:val="24"/>
          <w:lang w:val="en-US" w:eastAsia="zh-CN"/>
        </w:rPr>
        <w:t>同时一二三产各主体间存在交流不充分、沟通效率低的问题，利益分配长效机制有待完善。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缺少资金和人才，政策保障不足。公司基础设施建设、产量及质量提升、营销策划、广告宣传等资金投入乏力，技术保障、资源开发、市场营销、品牌建设方面专业人才短缺。硒产业发展中上级项目投入少，县级财力有限，在鼓励企业发展的激励奖补政策支持方面一直比较滞后。金融信贷政策方面，支持富硒产业发展的改革相对落后，融资难、融资贵、渠道单一等依然是制约公司做大做强的关键问题。在农业保险方面，政策性农业保险可保品种少，难以从根本上满足农业发展要求。</w:t>
      </w:r>
    </w:p>
    <w:p>
      <w:pPr>
        <w:pStyle w:val="3"/>
        <w:numPr>
          <w:ilvl w:val="0"/>
          <w:numId w:val="0"/>
        </w:numPr>
        <w:spacing w:line="360" w:lineRule="auto"/>
        <w:ind w:firstLine="602" w:firstLineChars="200"/>
        <w:outlineLvl w:val="0"/>
        <w:rPr>
          <w:rFonts w:hint="eastAsia" w:ascii="黑体" w:hAnsi="黑体" w:eastAsia="黑体" w:cs="黑体"/>
          <w:b/>
          <w:bCs/>
          <w:kern w:val="2"/>
          <w:sz w:val="30"/>
          <w:szCs w:val="30"/>
          <w:lang w:val="en-US" w:eastAsia="zh-CN" w:bidi="ar-SA"/>
        </w:rPr>
      </w:pPr>
      <w:bookmarkStart w:id="9" w:name="_Toc5773"/>
      <w:r>
        <w:rPr>
          <w:rFonts w:hint="eastAsia" w:ascii="黑体" w:hAnsi="黑体" w:eastAsia="黑体" w:cs="黑体"/>
          <w:b/>
          <w:bCs/>
          <w:kern w:val="2"/>
          <w:sz w:val="30"/>
          <w:szCs w:val="30"/>
          <w:lang w:val="en-US" w:eastAsia="zh-CN" w:bidi="ar-SA"/>
        </w:rPr>
        <w:t>四、推动富硒产业发展建议</w:t>
      </w:r>
      <w:bookmarkEnd w:id="9"/>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为推进以穗丰公司为代表的当地小微企业发展，我们根据调研中发现的问题，结合自身专业，提出以下解决问题的思路建议。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解放思想，多渠道吸引资金。公司的发展壮大离不开资本。一是在努力争取各类贷款和政策补贴的同时，还可借鉴改革开放初期“以市场换技术”的理念，重视提高通过股份形式吸收资金的能力，通过让渡股权吸引各类私募股权基金的投资，必要时可借力各级政府成立的产业引导基金支持。二是了解已有和潜在外地龙头企业的合作意向，回应关切解决痛点，以市场化原则引入先进农企等社会资本。三是主动对接外地龙头粮食加工企业，对标先进质量标准，尝试通过订单化种植等提前回收资金、锁定利润。此外，对农户入股的分红等，在讲清道理、算清大帐、做好沟通的情况下，将分红方式由现金逐步转变为现金+股份形式，为公司发展留足更多资金；对于争取到的各类政府补贴也可集中使用，用于解决发展中遇到的瓶颈问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滚动发展，各环节协调突破。公司目前生产、加工和销售等环节的基础设施建设存在不足，要解决这些问题，公司急不得也等不得。一方面要采取措施加大力度引进大资金、建设大项目，另一方面可以主动作为，立足现有条件，以生产的产量和质量提升作为突破口和牛鼻子带动加工和销售。针对生产各环节存在的问题，有的可以集中现有资源攻坚克难；有的可以选择其中部分进行试点，建立示范带动效应；缺乏的设备等可以尝试采取租赁、委托加工等方式加以解决。总之，对发展中的“拦路虎”采取分区分块、小步慢跑、蚂蚁搬家的方式每日解决一点、日日解决不停，从而实现滚动发展。</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汇聚人才，提高职业技能。要实现乡村产业转型升级发展，除了传统农业中的农技人员外，还需要大量的其他如营销类、管理类等非农业类人员，发展富硒产业可能还需要配套化工类特殊技术人员。同时，作为生产主力的农民也需要按现代农业生产的要求进行培训以提高技能或转型从事其他职业。因此，人才已成为公司发展过程中不可或缺的重要资源。公司在各项工作推进中要人才先行，高度重视配套人才引进和本地人才培养工作，对各类人才可以尝试采取技术入股等方式绑定个人利益与集体利益，共存共荣、共同发展。公司要关心关爱人才，关注他们工作和生活中遇到的困难，创造和谐的环境，不断激发各类人才的工作热情。</w:t>
      </w:r>
    </w:p>
    <w:p>
      <w:pPr>
        <w:spacing w:line="360" w:lineRule="auto"/>
        <w:ind w:firstLine="480" w:firstLineChars="200"/>
        <w:rPr>
          <w:rFonts w:hint="eastAsia" w:ascii="宋体" w:hAnsi="宋体" w:eastAsia="宋体" w:cs="宋体"/>
          <w:sz w:val="24"/>
          <w:szCs w:val="24"/>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24"/>
          <w:szCs w:val="24"/>
          <w:lang w:val="en-US" w:eastAsia="zh-CN"/>
        </w:rPr>
        <w:t>4.精准定位，差异化市场营销。富硒产品口感好，特别是所具有的抗癌、抗衰老和提升人体免疫力等多种功效，是富硒产品区别于其他优质产品的重要特征，因此公司在富硒产品推广时，除强调产品绿色有机外，更应突出其有益于身体健康的特性，以利于提升富硒产品附加值。一是积极参与硒相关标准制定，严格按标准生产加工富硒产品，确保硒含量稳定达标，使消费者使用后真正获得利益，从而建立长期信任关系。二是瞄准“富硒+食疗”的目标人群，有针对性地做好产品精深加工，开发如婴幼儿米糊、女士抗衰饮料等高价值产品以提升富硒产品附加值。三是通过三产融合，发挥赣南气候温和，梓山交通便利的特点，寻找目前长寿老人聚集村附近，建设“富硒+康养”园区，通过常住客带动当地其他产业共同发展，提高客户对“于都硒”的粘性。</w:t>
      </w:r>
    </w:p>
    <w:p>
      <w:pPr>
        <w:pStyle w:val="3"/>
        <w:numPr>
          <w:ilvl w:val="0"/>
          <w:numId w:val="0"/>
        </w:numPr>
        <w:spacing w:line="360" w:lineRule="auto"/>
        <w:outlineLvl w:val="0"/>
        <w:rPr>
          <w:rFonts w:hint="eastAsia" w:ascii="黑体" w:hAnsi="黑体" w:eastAsia="黑体" w:cs="黑体"/>
          <w:b/>
          <w:bCs/>
          <w:kern w:val="2"/>
          <w:sz w:val="30"/>
          <w:szCs w:val="30"/>
          <w:lang w:val="en-US" w:eastAsia="zh-CN" w:bidi="ar-SA"/>
        </w:rPr>
      </w:pPr>
      <w:bookmarkStart w:id="10" w:name="_Toc2343"/>
      <w:r>
        <w:rPr>
          <w:rFonts w:hint="eastAsia" w:ascii="黑体" w:hAnsi="黑体" w:eastAsia="黑体" w:cs="黑体"/>
          <w:b/>
          <w:bCs/>
          <w:kern w:val="2"/>
          <w:sz w:val="30"/>
          <w:szCs w:val="30"/>
          <w:lang w:val="en-US" w:eastAsia="zh-CN" w:bidi="ar-SA"/>
        </w:rPr>
        <w:t>参考资料：</w:t>
      </w:r>
      <w:bookmarkEnd w:id="10"/>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[1.]刘合光，陈珏颖.数字化给乡村产业转型升级带来新机遇</w:t>
      </w:r>
      <w:r>
        <w:rPr>
          <w:rFonts w:hint="eastAsia" w:ascii="宋体" w:hAnsi="宋体" w:eastAsia="宋体" w:cs="宋体"/>
          <w:i w:val="0"/>
          <w:caps w:val="0"/>
          <w:spacing w:val="0"/>
          <w:sz w:val="24"/>
          <w:szCs w:val="24"/>
          <w:shd w:val="clear"/>
        </w:rPr>
        <w:t>[J]</w:t>
      </w:r>
      <w:r>
        <w:rPr>
          <w:rFonts w:hint="eastAsia" w:ascii="宋体" w:hAnsi="宋体" w:eastAsia="宋体" w:cs="宋体"/>
          <w:kern w:val="2"/>
          <w:sz w:val="24"/>
          <w:szCs w:val="24"/>
          <w:lang w:val="en-US" w:eastAsia="zh-CN" w:bidi="ar-SA"/>
        </w:rPr>
        <w:t>.乡土视界，2022-04-18</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[2]刘合光，樊琴琴，</w:t>
      </w:r>
      <w:r>
        <w:rPr>
          <w:rFonts w:hint="eastAsia" w:ascii="宋体" w:hAnsi="宋体" w:eastAsia="宋体" w:cs="宋体"/>
          <w:i w:val="0"/>
          <w:caps w:val="0"/>
          <w:color w:val="auto"/>
          <w:spacing w:val="0"/>
          <w:kern w:val="2"/>
          <w:sz w:val="24"/>
          <w:szCs w:val="24"/>
          <w:lang w:val="en-US" w:eastAsia="zh-CN" w:bidi="ar-SA"/>
        </w:rPr>
        <w:t>韩旭东</w:t>
      </w:r>
      <w:r>
        <w:rPr>
          <w:rFonts w:hint="eastAsia" w:ascii="宋体" w:hAnsi="宋体" w:eastAsia="宋体" w:cs="宋体"/>
          <w:kern w:val="2"/>
          <w:sz w:val="24"/>
          <w:szCs w:val="24"/>
          <w:lang w:val="en-US" w:eastAsia="zh-CN" w:bidi="ar-SA"/>
        </w:rPr>
        <w:t>.乡村产业转型升级路径研究</w:t>
      </w:r>
      <w:r>
        <w:rPr>
          <w:rFonts w:hint="eastAsia" w:ascii="宋体" w:hAnsi="宋体" w:eastAsia="宋体" w:cs="宋体"/>
          <w:i w:val="0"/>
          <w:caps w:val="0"/>
          <w:spacing w:val="0"/>
          <w:sz w:val="24"/>
          <w:szCs w:val="24"/>
          <w:shd w:val="clear"/>
        </w:rPr>
        <w:t>[J]</w:t>
      </w:r>
      <w:r>
        <w:rPr>
          <w:rFonts w:hint="eastAsia" w:ascii="宋体" w:hAnsi="宋体" w:eastAsia="宋体" w:cs="宋体"/>
          <w:kern w:val="2"/>
          <w:sz w:val="24"/>
          <w:szCs w:val="24"/>
          <w:lang w:val="en-US" w:eastAsia="zh-CN" w:bidi="ar-SA"/>
        </w:rPr>
        <w:t>.农村工作通讯，2022-03-25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spacing w:val="0"/>
          <w:sz w:val="24"/>
          <w:szCs w:val="24"/>
          <w:shd w:val="clear"/>
          <w:lang w:val="en-US" w:eastAsia="zh-CN"/>
        </w:rPr>
        <w:t>3</w:t>
      </w:r>
      <w:r>
        <w:rPr>
          <w:rFonts w:hint="eastAsia" w:ascii="宋体" w:hAnsi="宋体" w:eastAsia="宋体" w:cs="宋体"/>
          <w:i w:val="0"/>
          <w:caps w:val="0"/>
          <w:color w:val="333333"/>
          <w:spacing w:val="0"/>
          <w:sz w:val="24"/>
          <w:szCs w:val="24"/>
          <w:shd w:val="clear" w:fill="FFFFFF"/>
        </w:rPr>
        <w:t>]彭仕兰，李玉娟，付明.西部贫困乡村产业转型升级影响因素研究——基于野茶村与晨光村实地调研[J].新疆农垦经济，2021，（5）.</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kern w:val="2"/>
          <w:sz w:val="24"/>
          <w:szCs w:val="24"/>
          <w:lang w:val="en-US" w:eastAsia="zh-CN" w:bidi="ar-SA"/>
        </w:rPr>
      </w:pPr>
    </w:p>
    <w:p>
      <w:pPr>
        <w:spacing w:line="360" w:lineRule="auto"/>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descr="7b0a20202020227461726765744964223a202270726f636573734f6e6c696e6542756c6c6574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alt="7b0a20202020227461726765744964223a202270726f636573734f6e6c696e6542756c6c6574220a7d0a"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0lY7tAAAAAFAQAADwAAAAAAAAABACAAAAAiAAAAZHJzL2Rvd25yZXYueG1s&#10;UEsBAhQAFAAAAAgAh07iQAK5hrpyAgAAvgQAAA4AAAAAAAAAAQAgAAAAHwEAAGRycy9lMm9Eb2Mu&#10;eG1sUEsFBgAAAAAGAAYAWQEAAAM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YWYwMTkzMzQ3ZjRlM2RjYTYyYmFhMzJmY2ZhMTQifQ=="/>
  </w:docVars>
  <w:rsids>
    <w:rsidRoot w:val="28D55D27"/>
    <w:rsid w:val="01B54AF3"/>
    <w:rsid w:val="02DB3577"/>
    <w:rsid w:val="061E6F69"/>
    <w:rsid w:val="06A706E7"/>
    <w:rsid w:val="091842F0"/>
    <w:rsid w:val="0A9B7F37"/>
    <w:rsid w:val="1554573B"/>
    <w:rsid w:val="166E2C6E"/>
    <w:rsid w:val="1A29534C"/>
    <w:rsid w:val="1A9609E5"/>
    <w:rsid w:val="1B1F2F4C"/>
    <w:rsid w:val="1CD20FA3"/>
    <w:rsid w:val="1FE14BAD"/>
    <w:rsid w:val="1FFD39CB"/>
    <w:rsid w:val="232115CB"/>
    <w:rsid w:val="266328D9"/>
    <w:rsid w:val="28D55D27"/>
    <w:rsid w:val="2C0C26A8"/>
    <w:rsid w:val="32CB5278"/>
    <w:rsid w:val="33E3455E"/>
    <w:rsid w:val="346F6E0D"/>
    <w:rsid w:val="37FC5ED4"/>
    <w:rsid w:val="3CAF6EB5"/>
    <w:rsid w:val="43C06512"/>
    <w:rsid w:val="442C19A7"/>
    <w:rsid w:val="477E06B3"/>
    <w:rsid w:val="4C333F3D"/>
    <w:rsid w:val="4D683234"/>
    <w:rsid w:val="505C18D6"/>
    <w:rsid w:val="50810615"/>
    <w:rsid w:val="56630683"/>
    <w:rsid w:val="59CC586E"/>
    <w:rsid w:val="5ACF283A"/>
    <w:rsid w:val="5B427BAF"/>
    <w:rsid w:val="66DF1A43"/>
    <w:rsid w:val="66E776BD"/>
    <w:rsid w:val="67203464"/>
    <w:rsid w:val="677A74B7"/>
    <w:rsid w:val="6CF11F7C"/>
    <w:rsid w:val="71120FBC"/>
    <w:rsid w:val="79776490"/>
    <w:rsid w:val="7EA0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rPr>
      <w:rFonts w:eastAsia="仿宋"/>
    </w:rPr>
  </w:style>
  <w:style w:type="paragraph" w:styleId="4">
    <w:name w:val="annotation text"/>
    <w:basedOn w:val="1"/>
    <w:qFormat/>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4665</Words>
  <Characters>4842</Characters>
  <Lines>0</Lines>
  <Paragraphs>0</Paragraphs>
  <TotalTime>2</TotalTime>
  <ScaleCrop>false</ScaleCrop>
  <LinksUpToDate>false</LinksUpToDate>
  <CharactersWithSpaces>5199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2022-08-20T09:18:00Z</dcterms:created>
  <dc:creator>Vivian</dc:creator>
  <cp:lastModifiedBy>Yi</cp:lastModifiedBy>
  <dcterms:modified xsi:type="dcterms:W3CDTF">2022-09-02T06:15:24Z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A47FBE3C839140398E26F2679D21521D</vt:lpwstr>
  </property>
</Properties>
</file>