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hAnsi="华文中宋" w:eastAsia="华文中宋"/>
          <w:b/>
          <w:sz w:val="48"/>
          <w:szCs w:val="48"/>
        </w:rPr>
      </w:pPr>
      <w:r>
        <w:rPr>
          <w:rFonts w:hAnsi="华文中宋" w:eastAsia="华文中宋"/>
          <w:b/>
          <w:sz w:val="48"/>
          <w:szCs w:val="48"/>
        </w:rPr>
        <w:t>证券行业促进乡村振兴公益行动</w:t>
      </w:r>
    </w:p>
    <w:p>
      <w:pPr>
        <w:jc w:val="center"/>
        <w:rPr>
          <w:rFonts w:hint="eastAsia" w:hAnsi="华文中宋" w:eastAsia="华文中宋"/>
          <w:b/>
          <w:sz w:val="48"/>
          <w:szCs w:val="48"/>
        </w:rPr>
      </w:pPr>
      <w:r>
        <w:rPr>
          <w:rFonts w:hint="default" w:ascii="Times New Roman" w:hAnsi="Times New Roman" w:eastAsia="华文中宋" w:cs="Times New Roman"/>
          <w:b/>
          <w:sz w:val="48"/>
          <w:szCs w:val="48"/>
        </w:rPr>
        <w:t>2022</w:t>
      </w:r>
      <w:r>
        <w:rPr>
          <w:rFonts w:hAnsi="华文中宋" w:eastAsia="华文中宋"/>
          <w:b/>
          <w:sz w:val="48"/>
          <w:szCs w:val="48"/>
        </w:rPr>
        <w:t>年</w:t>
      </w:r>
      <w:r>
        <w:rPr>
          <w:rFonts w:hint="eastAsia" w:hAnsi="华文中宋" w:eastAsia="华文中宋"/>
          <w:b/>
          <w:sz w:val="48"/>
          <w:szCs w:val="48"/>
        </w:rPr>
        <w:t>县域经济调研报告</w:t>
      </w:r>
    </w:p>
    <w:p>
      <w:pPr>
        <w:rPr>
          <w:rFonts w:hint="eastAsia" w:ascii="宋体" w:hAnsi="宋体"/>
          <w:sz w:val="32"/>
        </w:rPr>
      </w:pPr>
      <w:bookmarkStart w:id="23" w:name="_GoBack"/>
      <w:bookmarkEnd w:id="23"/>
    </w:p>
    <w:p>
      <w:pPr>
        <w:ind w:firstLine="1455" w:firstLineChars="453"/>
        <w:jc w:val="center"/>
        <w:rPr>
          <w:rFonts w:hint="eastAsia" w:ascii="仿宋_GB2312" w:hAnsi="宋体" w:eastAsia="仿宋_GB2312"/>
          <w:b/>
          <w:bCs w:val="0"/>
          <w:sz w:val="32"/>
        </w:rPr>
      </w:pPr>
      <w:r>
        <w:rPr>
          <w:rFonts w:hint="eastAsia" w:ascii="仿宋_GB2312" w:hAnsi="宋体" w:eastAsia="仿宋_GB2312"/>
          <w:b/>
          <w:sz w:val="32"/>
        </w:rPr>
        <w:t>报告名称</w:t>
      </w:r>
      <w:r>
        <w:rPr>
          <w:rFonts w:hint="eastAsia" w:ascii="仿宋_GB2312" w:hAnsi="宋体" w:eastAsia="仿宋_GB2312"/>
          <w:b/>
          <w:bCs w:val="0"/>
          <w:sz w:val="32"/>
        </w:rPr>
        <w:t>：</w:t>
      </w:r>
      <w:r>
        <w:rPr>
          <w:rFonts w:ascii="仿宋_GB2312" w:hAnsi="宋体" w:eastAsia="仿宋_GB2312"/>
          <w:b/>
          <w:bCs w:val="0"/>
          <w:sz w:val="32"/>
          <w:u w:val="single"/>
        </w:rPr>
        <w:t xml:space="preserve"> </w:t>
      </w:r>
      <w:r>
        <w:rPr>
          <w:rFonts w:hint="eastAsia" w:ascii="仿宋_GB2312" w:hAnsi="宋体" w:eastAsia="仿宋_GB2312"/>
          <w:b/>
          <w:bCs w:val="0"/>
          <w:sz w:val="32"/>
          <w:u w:val="single"/>
        </w:rPr>
        <w:t>深入研究围场满族蒙古族自治县乡村振兴发展之路</w:t>
      </w:r>
    </w:p>
    <w:p>
      <w:pPr>
        <w:ind w:firstLine="1455" w:firstLineChars="453"/>
        <w:rPr>
          <w:rFonts w:hint="eastAsia" w:ascii="仿宋_GB2312" w:hAnsi="宋体" w:eastAsia="仿宋_GB2312"/>
          <w:sz w:val="32"/>
          <w:u w:val="single"/>
        </w:rPr>
      </w:pPr>
      <w:r>
        <w:rPr>
          <w:rFonts w:hint="eastAsia" w:ascii="仿宋_GB2312" w:hAnsi="宋体" w:eastAsia="仿宋_GB2312"/>
          <w:b/>
          <w:bCs w:val="0"/>
          <w:sz w:val="32"/>
        </w:rPr>
        <w:t xml:space="preserve">调研县域: </w:t>
      </w:r>
      <w:r>
        <w:rPr>
          <w:rFonts w:ascii="仿宋_GB2312" w:hAnsi="宋体" w:eastAsia="仿宋_GB2312"/>
          <w:b w:val="0"/>
          <w:bCs/>
          <w:sz w:val="32"/>
          <w:u w:val="single"/>
        </w:rPr>
        <w:t xml:space="preserve"> </w:t>
      </w:r>
      <w:r>
        <w:rPr>
          <w:rFonts w:hint="eastAsia" w:ascii="仿宋_GB2312" w:hAnsi="宋体" w:eastAsia="仿宋_GB2312"/>
          <w:b w:val="0"/>
          <w:bCs/>
          <w:sz w:val="32"/>
          <w:u w:val="single"/>
          <w:lang w:val="en-US" w:eastAsia="zh-CN"/>
        </w:rPr>
        <w:t>河北</w:t>
      </w:r>
      <w:r>
        <w:rPr>
          <w:rFonts w:ascii="仿宋_GB2312" w:hAnsi="宋体" w:eastAsia="仿宋_GB2312"/>
          <w:b w:val="0"/>
          <w:bCs/>
          <w:sz w:val="32"/>
          <w:u w:val="single"/>
        </w:rPr>
        <w:t>省</w:t>
      </w:r>
      <w:r>
        <w:rPr>
          <w:rFonts w:hint="eastAsia" w:ascii="仿宋_GB2312" w:hAnsi="宋体" w:eastAsia="仿宋_GB2312"/>
          <w:b w:val="0"/>
          <w:bCs/>
          <w:sz w:val="32"/>
          <w:u w:val="single"/>
          <w:lang w:val="en-US" w:eastAsia="zh-CN"/>
        </w:rPr>
        <w:t>围场满族蒙古族自治</w:t>
      </w:r>
      <w:r>
        <w:rPr>
          <w:rFonts w:ascii="仿宋_GB2312" w:hAnsi="宋体" w:eastAsia="仿宋_GB2312"/>
          <w:b w:val="0"/>
          <w:bCs/>
          <w:sz w:val="32"/>
          <w:u w:val="single"/>
        </w:rPr>
        <w:t xml:space="preserve">县       </w:t>
      </w:r>
      <w:r>
        <w:rPr>
          <w:rFonts w:ascii="仿宋_GB2312" w:hAnsi="宋体" w:eastAsia="仿宋_GB2312"/>
          <w:sz w:val="32"/>
          <w:u w:val="single"/>
        </w:rPr>
        <w:t xml:space="preserve">           </w:t>
      </w:r>
    </w:p>
    <w:p>
      <w:pPr>
        <w:ind w:firstLine="1449" w:firstLineChars="453"/>
        <w:rPr>
          <w:rFonts w:hint="eastAsia" w:ascii="仿宋_GB2312" w:hAnsi="宋体" w:eastAsia="仿宋_GB2312"/>
          <w:sz w:val="32"/>
          <w:u w:val="single"/>
        </w:rPr>
      </w:pPr>
    </w:p>
    <w:p>
      <w:pPr>
        <w:ind w:firstLine="1455" w:firstLineChars="453"/>
        <w:rPr>
          <w:rFonts w:hint="eastAsia" w:ascii="仿宋_GB2312" w:hAnsi="宋体" w:eastAsia="仿宋_GB2312"/>
          <w:b/>
          <w:sz w:val="32"/>
          <w:u w:val="single"/>
        </w:rPr>
      </w:pPr>
      <w:r>
        <w:rPr>
          <w:rFonts w:hint="eastAsia" w:ascii="仿宋_GB2312" w:hAnsi="宋体" w:eastAsia="仿宋_GB2312"/>
          <w:b/>
          <w:sz w:val="32"/>
        </w:rPr>
        <w:t xml:space="preserve">牵头调研单位: </w:t>
      </w:r>
      <w:r>
        <w:rPr>
          <w:rFonts w:ascii="仿宋_GB2312" w:hAnsi="宋体" w:eastAsia="仿宋_GB2312"/>
          <w:b/>
          <w:sz w:val="32"/>
          <w:u w:val="single"/>
        </w:rPr>
        <w:t xml:space="preserve"> </w:t>
      </w:r>
      <w:r>
        <w:rPr>
          <w:rFonts w:hint="eastAsia" w:ascii="仿宋_GB2312" w:hAnsi="宋体" w:eastAsia="仿宋_GB2312"/>
          <w:b/>
          <w:sz w:val="32"/>
          <w:u w:val="single"/>
          <w:lang w:val="en-US" w:eastAsia="zh-CN"/>
        </w:rPr>
        <w:t>国都证券股份有限公司</w:t>
      </w:r>
      <w:r>
        <w:rPr>
          <w:rFonts w:ascii="仿宋_GB2312" w:hAnsi="宋体" w:eastAsia="仿宋_GB2312"/>
          <w:b/>
          <w:sz w:val="32"/>
          <w:u w:val="single"/>
        </w:rPr>
        <w:t xml:space="preserve">                  </w:t>
      </w:r>
      <w:r>
        <w:rPr>
          <w:rFonts w:hint="eastAsia" w:ascii="仿宋_GB2312" w:hAnsi="宋体" w:eastAsia="仿宋_GB2312"/>
          <w:b/>
          <w:sz w:val="32"/>
          <w:u w:val="single"/>
        </w:rPr>
        <w:t xml:space="preserve">        </w:t>
      </w:r>
    </w:p>
    <w:p>
      <w:pPr>
        <w:rPr>
          <w:rFonts w:hint="eastAsia" w:ascii="仿宋_GB2312" w:hAnsi="宋体" w:eastAsia="仿宋_GB2312"/>
          <w:sz w:val="32"/>
          <w:u w:val="single"/>
        </w:rPr>
      </w:pPr>
    </w:p>
    <w:p>
      <w:pPr>
        <w:ind w:firstLine="1455" w:firstLineChars="453"/>
        <w:rPr>
          <w:rFonts w:hint="eastAsia" w:ascii="仿宋_GB2312" w:hAnsi="宋体" w:eastAsia="仿宋_GB2312"/>
          <w:b/>
          <w:sz w:val="32"/>
          <w:u w:val="single"/>
        </w:rPr>
      </w:pPr>
      <w:r>
        <w:rPr>
          <w:rFonts w:hint="eastAsia" w:ascii="仿宋_GB2312" w:hAnsi="宋体" w:eastAsia="仿宋_GB2312"/>
          <w:b/>
          <w:sz w:val="32"/>
        </w:rPr>
        <w:t xml:space="preserve">联合调研单位: </w:t>
      </w:r>
      <w:r>
        <w:rPr>
          <w:rFonts w:ascii="仿宋_GB2312" w:hAnsi="宋体" w:eastAsia="仿宋_GB2312"/>
          <w:b/>
          <w:sz w:val="32"/>
          <w:u w:val="single"/>
        </w:rPr>
        <w:t xml:space="preserve">       </w:t>
      </w:r>
      <w:r>
        <w:rPr>
          <w:rFonts w:hint="eastAsia" w:ascii="仿宋_GB2312" w:hAnsi="宋体" w:eastAsia="仿宋_GB2312"/>
          <w:b/>
          <w:sz w:val="32"/>
          <w:u w:val="single"/>
          <w:lang w:val="en-US" w:eastAsia="zh-CN"/>
        </w:rPr>
        <w:t xml:space="preserve">  </w:t>
      </w:r>
      <w:r>
        <w:rPr>
          <w:rFonts w:ascii="仿宋_GB2312" w:hAnsi="宋体" w:eastAsia="仿宋_GB2312"/>
          <w:b/>
          <w:sz w:val="32"/>
          <w:u w:val="single"/>
        </w:rPr>
        <w:t xml:space="preserve">            </w:t>
      </w:r>
      <w:r>
        <w:rPr>
          <w:rFonts w:hint="eastAsia" w:ascii="仿宋_GB2312" w:hAnsi="宋体" w:eastAsia="仿宋_GB2312"/>
          <w:b/>
          <w:sz w:val="32"/>
          <w:u w:val="single"/>
        </w:rPr>
        <w:t xml:space="preserve">        </w:t>
      </w:r>
    </w:p>
    <w:p>
      <w:pPr>
        <w:ind w:firstLine="1449" w:firstLineChars="453"/>
        <w:rPr>
          <w:rFonts w:hint="eastAsia" w:ascii="仿宋_GB2312" w:hAnsi="宋体" w:eastAsia="仿宋_GB2312"/>
          <w:sz w:val="32"/>
        </w:rPr>
      </w:pPr>
    </w:p>
    <w:p>
      <w:pPr>
        <w:ind w:firstLine="1455" w:firstLineChars="453"/>
        <w:rPr>
          <w:rFonts w:hint="eastAsia" w:ascii="仿宋_GB2312" w:hAnsi="宋体" w:eastAsia="仿宋_GB2312"/>
          <w:b/>
          <w:sz w:val="32"/>
          <w:u w:val="single"/>
        </w:rPr>
      </w:pPr>
      <w:r>
        <w:rPr>
          <w:rFonts w:hint="eastAsia" w:ascii="仿宋_GB2312" w:hAnsi="宋体" w:eastAsia="仿宋_GB2312"/>
          <w:b/>
          <w:sz w:val="32"/>
        </w:rPr>
        <w:t>调研组负责人:</w:t>
      </w:r>
      <w:r>
        <w:rPr>
          <w:rFonts w:ascii="仿宋_GB2312" w:hAnsi="宋体" w:eastAsia="仿宋_GB2312"/>
          <w:b/>
          <w:sz w:val="32"/>
        </w:rPr>
        <w:t xml:space="preserve"> </w:t>
      </w:r>
      <w:r>
        <w:rPr>
          <w:rFonts w:ascii="仿宋_GB2312" w:hAnsi="宋体" w:eastAsia="仿宋_GB2312"/>
          <w:b/>
          <w:sz w:val="32"/>
          <w:u w:val="single"/>
        </w:rPr>
        <w:t xml:space="preserve"> </w:t>
      </w:r>
      <w:r>
        <w:rPr>
          <w:rFonts w:hint="eastAsia" w:ascii="仿宋_GB2312" w:hAnsi="宋体" w:eastAsia="仿宋_GB2312"/>
          <w:b/>
          <w:sz w:val="32"/>
          <w:u w:val="single"/>
          <w:lang w:val="en-US" w:eastAsia="zh-CN"/>
        </w:rPr>
        <w:t>王定军</w:t>
      </w:r>
      <w:r>
        <w:rPr>
          <w:rFonts w:ascii="仿宋_GB2312" w:hAnsi="宋体" w:eastAsia="仿宋_GB2312"/>
          <w:b/>
          <w:sz w:val="32"/>
          <w:u w:val="single"/>
        </w:rPr>
        <w:t xml:space="preserve">                      </w:t>
      </w:r>
      <w:r>
        <w:rPr>
          <w:rFonts w:hint="eastAsia" w:ascii="仿宋_GB2312" w:hAnsi="宋体" w:eastAsia="仿宋_GB2312"/>
          <w:b/>
          <w:sz w:val="32"/>
          <w:u w:val="single"/>
        </w:rPr>
        <w:t xml:space="preserve"> </w:t>
      </w:r>
      <w:r>
        <w:rPr>
          <w:rFonts w:ascii="仿宋_GB2312" w:hAnsi="宋体" w:eastAsia="仿宋_GB2312"/>
          <w:b/>
          <w:sz w:val="32"/>
          <w:u w:val="single"/>
        </w:rPr>
        <w:t xml:space="preserve">   </w:t>
      </w:r>
      <w:r>
        <w:rPr>
          <w:rFonts w:hint="eastAsia" w:ascii="仿宋_GB2312" w:hAnsi="宋体" w:eastAsia="仿宋_GB2312"/>
          <w:b/>
          <w:sz w:val="32"/>
          <w:u w:val="single"/>
        </w:rPr>
        <w:t xml:space="preserve"> </w:t>
      </w:r>
    </w:p>
    <w:p>
      <w:pPr>
        <w:rPr>
          <w:rFonts w:hint="eastAsia" w:ascii="仿宋_GB2312" w:hAnsi="宋体" w:eastAsia="仿宋_GB2312"/>
          <w:sz w:val="32"/>
          <w:u w:val="single"/>
        </w:rPr>
      </w:pPr>
    </w:p>
    <w:p>
      <w:pPr>
        <w:ind w:firstLine="1455" w:firstLineChars="453"/>
        <w:rPr>
          <w:rFonts w:hint="eastAsia" w:ascii="仿宋_GB2312" w:hAnsi="宋体" w:eastAsia="仿宋_GB2312"/>
          <w:b/>
          <w:sz w:val="32"/>
          <w:u w:val="single"/>
        </w:rPr>
      </w:pPr>
      <w:r>
        <w:rPr>
          <w:rFonts w:hint="eastAsia" w:ascii="仿宋_GB2312" w:hAnsi="宋体" w:eastAsia="仿宋_GB2312"/>
          <w:b/>
          <w:sz w:val="32"/>
        </w:rPr>
        <w:t xml:space="preserve">调研组成员: </w:t>
      </w:r>
      <w:r>
        <w:rPr>
          <w:rFonts w:hint="eastAsia" w:ascii="仿宋_GB2312" w:hAnsi="宋体" w:eastAsia="仿宋_GB2312"/>
          <w:b/>
          <w:sz w:val="32"/>
          <w:u w:val="single"/>
        </w:rPr>
        <w:t xml:space="preserve">   </w:t>
      </w:r>
      <w:r>
        <w:rPr>
          <w:rFonts w:hint="eastAsia" w:ascii="仿宋_GB2312" w:hAnsi="宋体" w:eastAsia="仿宋_GB2312"/>
          <w:b/>
          <w:sz w:val="32"/>
          <w:u w:val="single"/>
          <w:lang w:val="en-US" w:eastAsia="zh-CN"/>
        </w:rPr>
        <w:t>唐  垚</w:t>
      </w:r>
      <w:r>
        <w:rPr>
          <w:rFonts w:hint="eastAsia" w:ascii="仿宋_GB2312" w:hAnsi="宋体" w:eastAsia="仿宋_GB2312"/>
          <w:b/>
          <w:sz w:val="32"/>
          <w:u w:val="single"/>
        </w:rPr>
        <w:t xml:space="preserve">                      </w:t>
      </w:r>
      <w:r>
        <w:rPr>
          <w:rFonts w:ascii="仿宋_GB2312" w:hAnsi="宋体" w:eastAsia="仿宋_GB2312"/>
          <w:b/>
          <w:sz w:val="32"/>
          <w:u w:val="single"/>
        </w:rPr>
        <w:t xml:space="preserve">   </w:t>
      </w:r>
      <w:r>
        <w:rPr>
          <w:rFonts w:hint="eastAsia" w:ascii="仿宋_GB2312" w:hAnsi="宋体" w:eastAsia="仿宋_GB2312"/>
          <w:b/>
          <w:sz w:val="32"/>
          <w:u w:val="single"/>
        </w:rPr>
        <w:t xml:space="preserve">  </w:t>
      </w:r>
    </w:p>
    <w:p>
      <w:pPr>
        <w:spacing w:line="225" w:lineRule="atLeast"/>
        <w:rPr>
          <w:rFonts w:hint="eastAsia" w:ascii="宋体" w:hAnsi="宋体"/>
          <w:sz w:val="32"/>
        </w:rPr>
      </w:pPr>
    </w:p>
    <w:p>
      <w:pPr>
        <w:spacing w:line="225" w:lineRule="atLeast"/>
        <w:rPr>
          <w:rFonts w:hint="eastAsia" w:ascii="宋体" w:hAnsi="宋体"/>
          <w:sz w:val="32"/>
        </w:rPr>
      </w:pPr>
    </w:p>
    <w:p>
      <w:pPr>
        <w:spacing w:line="225" w:lineRule="atLeast"/>
        <w:rPr>
          <w:rFonts w:hint="eastAsia" w:ascii="宋体" w:hAnsi="宋体"/>
          <w:sz w:val="32"/>
        </w:rPr>
      </w:pPr>
    </w:p>
    <w:p>
      <w:pPr>
        <w:spacing w:line="225" w:lineRule="atLeast"/>
        <w:jc w:val="center"/>
        <w:rPr>
          <w:rFonts w:hint="eastAsia" w:ascii="仿宋_GB2312" w:hAnsi="宋体" w:eastAsia="仿宋_GB2312"/>
          <w:b/>
          <w:sz w:val="32"/>
          <w:szCs w:val="32"/>
        </w:rPr>
      </w:pPr>
      <w:r>
        <w:rPr>
          <w:rFonts w:hint="eastAsia" w:ascii="仿宋_GB2312" w:eastAsia="仿宋_GB2312"/>
          <w:b/>
          <w:sz w:val="32"/>
          <w:szCs w:val="32"/>
        </w:rPr>
        <w:t>中国证券业协会</w:t>
      </w:r>
    </w:p>
    <w:p>
      <w:pPr>
        <w:spacing w:line="225" w:lineRule="atLeast"/>
        <w:jc w:val="center"/>
        <w:rPr>
          <w:rFonts w:hint="eastAsia" w:ascii="仿宋_GB2312" w:eastAsia="仿宋_GB2312"/>
          <w:b/>
          <w:sz w:val="32"/>
          <w:szCs w:val="32"/>
        </w:rPr>
      </w:pPr>
      <w:r>
        <w:rPr>
          <w:rFonts w:hint="eastAsia" w:ascii="仿宋_GB2312" w:eastAsia="仿宋_GB2312"/>
          <w:b/>
          <w:sz w:val="32"/>
          <w:szCs w:val="32"/>
        </w:rPr>
        <w:t>2022年8月</w:t>
      </w:r>
    </w:p>
    <w:p>
      <w:pPr>
        <w:spacing w:line="225" w:lineRule="atLeast"/>
        <w:jc w:val="center"/>
        <w:rPr>
          <w:rFonts w:hint="eastAsia" w:ascii="仿宋_GB2312" w:eastAsia="仿宋_GB2312"/>
          <w:b/>
          <w:sz w:val="32"/>
          <w:szCs w:val="32"/>
        </w:rPr>
      </w:pPr>
    </w:p>
    <w:p>
      <w:pPr>
        <w:spacing w:line="360" w:lineRule="auto"/>
        <w:jc w:val="both"/>
        <w:rPr>
          <w:rFonts w:hint="eastAsia" w:ascii="黑体" w:hAnsi="黑体" w:eastAsia="黑体" w:cs="黑体"/>
          <w:b/>
          <w:bCs/>
          <w:sz w:val="32"/>
          <w:szCs w:val="32"/>
        </w:rPr>
      </w:pPr>
    </w:p>
    <w:p>
      <w:pPr>
        <w:spacing w:line="360" w:lineRule="auto"/>
        <w:ind w:firstLine="560" w:firstLineChars="200"/>
        <w:rPr>
          <w:rFonts w:hint="eastAsia" w:ascii="黑体" w:hAnsi="黑体" w:eastAsia="黑体" w:cs="黑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4"/>
          <w:szCs w:val="24"/>
          <w:lang w:val="en-US" w:eastAsia="zh-CN"/>
        </w:rPr>
      </w:pPr>
      <w:r>
        <w:rPr>
          <w:rFonts w:hint="eastAsia" w:ascii="黑体" w:hAnsi="黑体" w:eastAsia="黑体" w:cs="黑体"/>
          <w:sz w:val="28"/>
          <w:szCs w:val="28"/>
          <w:lang w:val="en-US" w:eastAsia="zh-CN"/>
        </w:rPr>
        <w:t>摘要：</w:t>
      </w:r>
      <w:r>
        <w:rPr>
          <w:rFonts w:hint="eastAsia" w:asciiTheme="minorEastAsia" w:hAnsiTheme="minorEastAsia" w:eastAsiaTheme="minorEastAsia" w:cstheme="minorEastAsia"/>
          <w:sz w:val="24"/>
          <w:szCs w:val="24"/>
          <w:lang w:val="en-US" w:eastAsia="zh-CN"/>
        </w:rPr>
        <w:t>民族要复兴，乡村必振兴。进入实现第二个百年奋斗目标新征程，“三农”工作重心已历史性转向全面推进乡村振兴。要顺应立足新发展阶段、贯彻新发展理念、构建新发展格局的新形势、新要求，走中国特色社会主义乡村振兴道路，要科学统筹政策、市场、人才等重要资源要素，加强顶层设计，完善政策体系、工作体系、制度体系，以更有力的举措，推动共同富裕，促进全面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本文通过深入调研河北省围场满族蒙古族自治县产业结构、经济发展现状、为围场县乡村振兴发展提供一些参考和建议，助力围场县域经济高质量发展，奋力推进围场乡村振兴新局面。</w:t>
      </w:r>
    </w:p>
    <w:p>
      <w:pPr>
        <w:spacing w:line="360" w:lineRule="auto"/>
        <w:ind w:firstLine="560" w:firstLineChars="200"/>
        <w:rPr>
          <w:rFonts w:hint="eastAsia" w:ascii="宋体" w:hAnsi="宋体" w:eastAsia="宋体" w:cs="宋体"/>
          <w:sz w:val="24"/>
          <w:szCs w:val="24"/>
          <w:lang w:val="en-US" w:eastAsia="zh-CN"/>
        </w:rPr>
      </w:pPr>
      <w:r>
        <w:rPr>
          <w:rFonts w:hint="eastAsia" w:ascii="黑体" w:hAnsi="黑体" w:eastAsia="黑体" w:cs="黑体"/>
          <w:sz w:val="28"/>
          <w:szCs w:val="28"/>
          <w:lang w:val="en-US" w:eastAsia="zh-CN"/>
        </w:rPr>
        <w:t>关键词：</w:t>
      </w:r>
      <w:r>
        <w:rPr>
          <w:rFonts w:hint="eastAsia" w:ascii="宋体" w:hAnsi="宋体" w:eastAsia="宋体" w:cs="宋体"/>
          <w:sz w:val="24"/>
          <w:szCs w:val="24"/>
          <w:lang w:val="en-US" w:eastAsia="zh-CN"/>
        </w:rPr>
        <w:t>乡村振兴 县域经济 乡村旅游</w:t>
      </w:r>
    </w:p>
    <w:p>
      <w:pPr>
        <w:spacing w:line="360" w:lineRule="auto"/>
        <w:rPr>
          <w:rFonts w:hint="eastAsia" w:ascii="仿宋" w:hAnsi="仿宋" w:eastAsia="仿宋" w:cs="仿宋"/>
          <w:sz w:val="28"/>
          <w:szCs w:val="28"/>
          <w:lang w:val="en-US" w:eastAsia="zh-CN"/>
        </w:rPr>
      </w:pPr>
    </w:p>
    <w:p>
      <w:pPr>
        <w:spacing w:line="360" w:lineRule="auto"/>
        <w:rPr>
          <w:rFonts w:hint="eastAsia" w:ascii="仿宋" w:hAnsi="仿宋" w:eastAsia="仿宋" w:cs="仿宋"/>
          <w:sz w:val="28"/>
          <w:szCs w:val="28"/>
          <w:lang w:val="en-US" w:eastAsia="zh-CN"/>
        </w:rPr>
      </w:pPr>
    </w:p>
    <w:p>
      <w:pPr>
        <w:spacing w:line="360" w:lineRule="auto"/>
        <w:rPr>
          <w:rFonts w:hint="eastAsia" w:ascii="仿宋" w:hAnsi="仿宋" w:eastAsia="仿宋" w:cs="仿宋"/>
          <w:sz w:val="28"/>
          <w:szCs w:val="28"/>
          <w:lang w:val="en-US" w:eastAsia="zh-CN"/>
        </w:rPr>
      </w:pPr>
    </w:p>
    <w:p>
      <w:pPr>
        <w:spacing w:line="360" w:lineRule="auto"/>
        <w:rPr>
          <w:rFonts w:hint="eastAsia" w:ascii="仿宋" w:hAnsi="仿宋" w:eastAsia="仿宋" w:cs="仿宋"/>
          <w:sz w:val="28"/>
          <w:szCs w:val="28"/>
          <w:lang w:val="en-US" w:eastAsia="zh-CN"/>
        </w:rPr>
      </w:pPr>
    </w:p>
    <w:p>
      <w:pPr>
        <w:spacing w:line="360" w:lineRule="auto"/>
        <w:rPr>
          <w:rFonts w:hint="eastAsia" w:ascii="仿宋" w:hAnsi="仿宋" w:eastAsia="仿宋" w:cs="仿宋"/>
          <w:sz w:val="28"/>
          <w:szCs w:val="28"/>
          <w:lang w:val="en-US" w:eastAsia="zh-CN"/>
        </w:rPr>
      </w:pPr>
    </w:p>
    <w:p>
      <w:pPr>
        <w:spacing w:line="360" w:lineRule="auto"/>
        <w:rPr>
          <w:rFonts w:hint="eastAsia" w:ascii="仿宋" w:hAnsi="仿宋" w:eastAsia="仿宋" w:cs="仿宋"/>
          <w:sz w:val="28"/>
          <w:szCs w:val="28"/>
          <w:lang w:val="en-US" w:eastAsia="zh-CN"/>
        </w:rPr>
      </w:pPr>
    </w:p>
    <w:p>
      <w:pPr>
        <w:spacing w:line="360" w:lineRule="auto"/>
        <w:rPr>
          <w:rFonts w:hint="eastAsia" w:ascii="仿宋" w:hAnsi="仿宋" w:eastAsia="仿宋" w:cs="仿宋"/>
          <w:sz w:val="28"/>
          <w:szCs w:val="28"/>
          <w:lang w:val="en-US" w:eastAsia="zh-CN"/>
        </w:rPr>
      </w:pPr>
    </w:p>
    <w:p>
      <w:pPr>
        <w:spacing w:line="360" w:lineRule="auto"/>
        <w:rPr>
          <w:rFonts w:hint="eastAsia" w:ascii="仿宋" w:hAnsi="仿宋" w:eastAsia="仿宋" w:cs="仿宋"/>
          <w:sz w:val="28"/>
          <w:szCs w:val="28"/>
          <w:lang w:val="en-US" w:eastAsia="zh-CN"/>
        </w:rPr>
      </w:pPr>
    </w:p>
    <w:p>
      <w:pPr>
        <w:spacing w:line="360" w:lineRule="auto"/>
        <w:rPr>
          <w:rFonts w:hint="eastAsia" w:ascii="仿宋" w:hAnsi="仿宋" w:eastAsia="仿宋" w:cs="仿宋"/>
          <w:sz w:val="28"/>
          <w:szCs w:val="28"/>
          <w:lang w:val="en-US" w:eastAsia="zh-CN"/>
        </w:rPr>
      </w:pPr>
    </w:p>
    <w:p>
      <w:pPr>
        <w:spacing w:line="360" w:lineRule="auto"/>
        <w:rPr>
          <w:rFonts w:hint="eastAsia" w:ascii="仿宋" w:hAnsi="仿宋" w:eastAsia="仿宋" w:cs="仿宋"/>
          <w:sz w:val="28"/>
          <w:szCs w:val="28"/>
          <w:lang w:val="en-US" w:eastAsia="zh-CN"/>
        </w:rPr>
      </w:pPr>
    </w:p>
    <w:p>
      <w:pPr>
        <w:spacing w:line="360" w:lineRule="auto"/>
        <w:rPr>
          <w:rFonts w:hint="eastAsia" w:ascii="仿宋" w:hAnsi="仿宋" w:eastAsia="仿宋" w:cs="仿宋"/>
          <w:sz w:val="28"/>
          <w:szCs w:val="28"/>
          <w:lang w:val="en-US" w:eastAsia="zh-CN"/>
        </w:rPr>
      </w:pPr>
    </w:p>
    <w:p>
      <w:pPr>
        <w:spacing w:line="360" w:lineRule="auto"/>
        <w:rPr>
          <w:rFonts w:hint="eastAsia" w:ascii="仿宋" w:hAnsi="仿宋" w:eastAsia="仿宋" w:cs="仿宋"/>
          <w:sz w:val="28"/>
          <w:szCs w:val="28"/>
          <w:lang w:val="en-US" w:eastAsia="zh-CN"/>
        </w:rPr>
      </w:pPr>
    </w:p>
    <w:p>
      <w:pPr>
        <w:spacing w:line="360" w:lineRule="auto"/>
        <w:rPr>
          <w:rFonts w:hint="eastAsia" w:ascii="仿宋" w:hAnsi="仿宋" w:eastAsia="仿宋" w:cs="仿宋"/>
          <w:sz w:val="28"/>
          <w:szCs w:val="28"/>
          <w:lang w:val="en-US" w:eastAsia="zh-CN"/>
        </w:rPr>
      </w:pPr>
    </w:p>
    <w:p>
      <w:pPr>
        <w:spacing w:line="360" w:lineRule="auto"/>
        <w:rPr>
          <w:rFonts w:hint="eastAsia" w:ascii="仿宋" w:hAnsi="仿宋" w:eastAsia="仿宋" w:cs="仿宋"/>
          <w:sz w:val="28"/>
          <w:szCs w:val="28"/>
          <w:lang w:val="en-US" w:eastAsia="zh-CN"/>
        </w:rPr>
      </w:pPr>
    </w:p>
    <w:sdt>
      <w:sdtPr>
        <w:rPr>
          <w:rFonts w:hint="eastAsia" w:ascii="黑体" w:hAnsi="黑体" w:eastAsia="黑体" w:cs="黑体"/>
          <w:kern w:val="2"/>
          <w:sz w:val="30"/>
          <w:szCs w:val="30"/>
          <w:lang w:val="en-US" w:eastAsia="zh-CN" w:bidi="ar-SA"/>
        </w:rPr>
        <w:id w:val="147458110"/>
        <w15:color w:val="DBDBDB"/>
        <w:docPartObj>
          <w:docPartGallery w:val="Table of Contents"/>
          <w:docPartUnique/>
        </w:docPartObj>
      </w:sdtPr>
      <w:sdtEndPr>
        <w:rPr>
          <w:rFonts w:hint="default" w:ascii="仿宋" w:hAnsi="仿宋" w:eastAsia="仿宋" w:cs="仿宋"/>
          <w:kern w:val="2"/>
          <w:sz w:val="21"/>
          <w:szCs w:val="28"/>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黑体" w:hAnsi="黑体" w:eastAsia="黑体" w:cs="黑体"/>
              <w:sz w:val="30"/>
              <w:szCs w:val="30"/>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TOC \o "1-3" \h \u </w:instrText>
          </w:r>
          <w:r>
            <w:rPr>
              <w:rFonts w:hint="default" w:ascii="仿宋" w:hAnsi="仿宋" w:eastAsia="仿宋" w:cs="仿宋"/>
              <w:sz w:val="24"/>
              <w:szCs w:val="24"/>
              <w:lang w:val="en-US" w:eastAsia="zh-CN"/>
            </w:rPr>
            <w:fldChar w:fldCharType="separate"/>
          </w: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_Toc29722 </w:instrText>
          </w:r>
          <w:r>
            <w:rPr>
              <w:rFonts w:hint="default" w:ascii="仿宋" w:hAnsi="仿宋" w:eastAsia="仿宋" w:cs="仿宋"/>
              <w:sz w:val="24"/>
              <w:szCs w:val="24"/>
              <w:lang w:val="en-US" w:eastAsia="zh-CN"/>
            </w:rPr>
            <w:fldChar w:fldCharType="separate"/>
          </w:r>
          <w:r>
            <w:rPr>
              <w:rFonts w:hint="eastAsia" w:ascii="黑体" w:hAnsi="黑体" w:eastAsia="黑体" w:cs="黑体"/>
              <w:sz w:val="24"/>
              <w:szCs w:val="24"/>
            </w:rPr>
            <w:t>前</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言</w:t>
          </w:r>
          <w:r>
            <w:rPr>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_Toc29722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仿宋" w:hAnsi="仿宋" w:eastAsia="仿宋" w:cs="仿宋"/>
              <w:sz w:val="24"/>
              <w:szCs w:val="24"/>
              <w:lang w:val="en-US"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_Toc29792 </w:instrText>
          </w:r>
          <w:r>
            <w:rPr>
              <w:rFonts w:hint="default" w:ascii="仿宋" w:hAnsi="仿宋" w:eastAsia="仿宋" w:cs="仿宋"/>
              <w:sz w:val="24"/>
              <w:szCs w:val="24"/>
              <w:lang w:val="en-US" w:eastAsia="zh-CN"/>
            </w:rPr>
            <w:fldChar w:fldCharType="separate"/>
          </w:r>
          <w:r>
            <w:rPr>
              <w:rFonts w:hint="eastAsia" w:ascii="黑体" w:hAnsi="黑体" w:eastAsia="黑体" w:cs="黑体"/>
              <w:sz w:val="24"/>
              <w:szCs w:val="24"/>
            </w:rPr>
            <w:t>一、县域经济概要</w:t>
          </w:r>
          <w:r>
            <w:rPr>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_Toc29792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仿宋" w:hAnsi="仿宋" w:eastAsia="仿宋" w:cs="仿宋"/>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_Toc5275 </w:instrText>
          </w:r>
          <w:r>
            <w:rPr>
              <w:rFonts w:hint="eastAsia" w:ascii="宋体" w:hAnsi="宋体" w:eastAsia="宋体" w:cs="宋体"/>
              <w:sz w:val="24"/>
              <w:szCs w:val="24"/>
              <w:lang w:val="en-US" w:eastAsia="zh-CN"/>
            </w:rPr>
            <w:fldChar w:fldCharType="separate"/>
          </w:r>
          <w:r>
            <w:rPr>
              <w:rFonts w:hint="eastAsia" w:ascii="宋体" w:hAnsi="宋体" w:eastAsia="宋体" w:cs="宋体"/>
              <w:bCs w:val="0"/>
              <w:sz w:val="24"/>
              <w:szCs w:val="24"/>
            </w:rPr>
            <w:t>（一）基本情况</w:t>
          </w:r>
          <w:r>
            <w:rPr>
              <w:rFonts w:hint="eastAsia" w:ascii="宋体" w:hAnsi="宋体" w:eastAsia="宋体" w:cs="宋体"/>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_Toc5275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eastAsia" w:ascii="宋体" w:hAnsi="宋体" w:eastAsia="宋体" w:cs="宋体"/>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_Toc10231 </w:instrText>
          </w:r>
          <w:r>
            <w:rPr>
              <w:rFonts w:hint="eastAsia" w:ascii="宋体" w:hAnsi="宋体" w:eastAsia="宋体" w:cs="宋体"/>
              <w:sz w:val="24"/>
              <w:szCs w:val="24"/>
              <w:lang w:val="en-US" w:eastAsia="zh-CN"/>
            </w:rPr>
            <w:fldChar w:fldCharType="separate"/>
          </w:r>
          <w:r>
            <w:rPr>
              <w:rFonts w:hint="eastAsia" w:ascii="宋体" w:hAnsi="宋体" w:eastAsia="宋体" w:cs="宋体"/>
              <w:bCs w:val="0"/>
              <w:sz w:val="24"/>
              <w:szCs w:val="24"/>
            </w:rPr>
            <w:t>（二）农业产业</w:t>
          </w:r>
          <w:r>
            <w:rPr>
              <w:rFonts w:hint="eastAsia" w:ascii="宋体" w:hAnsi="宋体" w:eastAsia="宋体" w:cs="宋体"/>
              <w:sz w:val="24"/>
              <w:szCs w:val="24"/>
            </w:rPr>
            <w:tab/>
          </w: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PAGEREF _Toc10231 \h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2</w:t>
          </w:r>
          <w:r>
            <w:rPr>
              <w:rFonts w:hint="eastAsia" w:ascii="Times New Roman" w:hAnsi="Times New Roman" w:eastAsia="宋体" w:cs="Times New Roman"/>
              <w:sz w:val="24"/>
              <w:szCs w:val="24"/>
            </w:rPr>
            <w:fldChar w:fldCharType="end"/>
          </w:r>
          <w:r>
            <w:rPr>
              <w:rFonts w:hint="eastAsia" w:ascii="宋体" w:hAnsi="宋体" w:eastAsia="宋体" w:cs="宋体"/>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_Toc19502 </w:instrText>
          </w:r>
          <w:r>
            <w:rPr>
              <w:rFonts w:hint="eastAsia" w:ascii="宋体" w:hAnsi="宋体" w:eastAsia="宋体" w:cs="宋体"/>
              <w:sz w:val="24"/>
              <w:szCs w:val="24"/>
              <w:lang w:val="en-US" w:eastAsia="zh-CN"/>
            </w:rPr>
            <w:fldChar w:fldCharType="separate"/>
          </w:r>
          <w:r>
            <w:rPr>
              <w:rFonts w:hint="eastAsia" w:ascii="宋体" w:hAnsi="宋体" w:eastAsia="宋体" w:cs="宋体"/>
              <w:bCs w:val="0"/>
              <w:sz w:val="24"/>
              <w:szCs w:val="24"/>
            </w:rPr>
            <w:t>（三）旅游业</w:t>
          </w:r>
          <w:r>
            <w:rPr>
              <w:rFonts w:hint="eastAsia" w:ascii="宋体" w:hAnsi="宋体" w:eastAsia="宋体" w:cs="宋体"/>
              <w:sz w:val="24"/>
              <w:szCs w:val="24"/>
            </w:rPr>
            <w:tab/>
          </w: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PAGEREF _Toc19502 \h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3</w:t>
          </w:r>
          <w:r>
            <w:rPr>
              <w:rFonts w:hint="eastAsia" w:ascii="Times New Roman" w:hAnsi="Times New Roman" w:eastAsia="宋体" w:cs="Times New Roman"/>
              <w:sz w:val="24"/>
              <w:szCs w:val="24"/>
            </w:rPr>
            <w:fldChar w:fldCharType="end"/>
          </w:r>
          <w:r>
            <w:rPr>
              <w:rFonts w:hint="eastAsia" w:ascii="宋体" w:hAnsi="宋体" w:eastAsia="宋体" w:cs="宋体"/>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_Toc21844 </w:instrText>
          </w:r>
          <w:r>
            <w:rPr>
              <w:rFonts w:hint="eastAsia" w:ascii="宋体" w:hAnsi="宋体" w:eastAsia="宋体" w:cs="宋体"/>
              <w:sz w:val="24"/>
              <w:szCs w:val="24"/>
              <w:lang w:val="en-US" w:eastAsia="zh-CN"/>
            </w:rPr>
            <w:fldChar w:fldCharType="separate"/>
          </w:r>
          <w:r>
            <w:rPr>
              <w:rFonts w:hint="eastAsia" w:ascii="宋体" w:hAnsi="宋体" w:eastAsia="宋体" w:cs="宋体"/>
              <w:bCs w:val="0"/>
              <w:sz w:val="24"/>
              <w:szCs w:val="24"/>
            </w:rPr>
            <w:t>（四）工业产业</w:t>
          </w:r>
          <w:r>
            <w:rPr>
              <w:rFonts w:hint="eastAsia" w:ascii="宋体" w:hAnsi="宋体" w:eastAsia="宋体" w:cs="宋体"/>
              <w:sz w:val="24"/>
              <w:szCs w:val="24"/>
            </w:rPr>
            <w:tab/>
          </w: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PAGEREF _Toc21844 \h </w:instrText>
          </w:r>
          <w:r>
            <w:rPr>
              <w:rFonts w:hint="eastAsia"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3</w:t>
          </w:r>
          <w:r>
            <w:rPr>
              <w:rFonts w:hint="eastAsia" w:ascii="Times New Roman" w:hAnsi="Times New Roman" w:eastAsia="宋体" w:cs="Times New Roman"/>
              <w:sz w:val="24"/>
              <w:szCs w:val="24"/>
            </w:rPr>
            <w:fldChar w:fldCharType="end"/>
          </w:r>
          <w:r>
            <w:rPr>
              <w:rFonts w:hint="eastAsia" w:ascii="宋体" w:hAnsi="宋体" w:eastAsia="宋体" w:cs="宋体"/>
              <w:sz w:val="24"/>
              <w:szCs w:val="24"/>
              <w:lang w:val="en-US"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_Toc26227 </w:instrText>
          </w:r>
          <w:r>
            <w:rPr>
              <w:rFonts w:hint="default" w:ascii="仿宋" w:hAnsi="仿宋" w:eastAsia="仿宋" w:cs="仿宋"/>
              <w:sz w:val="24"/>
              <w:szCs w:val="24"/>
              <w:lang w:val="en-US" w:eastAsia="zh-CN"/>
            </w:rPr>
            <w:fldChar w:fldCharType="separate"/>
          </w:r>
          <w:r>
            <w:rPr>
              <w:rFonts w:hint="eastAsia" w:ascii="黑体" w:hAnsi="黑体" w:eastAsia="黑体" w:cs="黑体"/>
              <w:sz w:val="24"/>
              <w:szCs w:val="24"/>
            </w:rPr>
            <w:t>二、县域经济发展面临的挑战和问题</w:t>
          </w:r>
          <w:r>
            <w:rPr>
              <w:sz w:val="24"/>
              <w:szCs w:val="24"/>
            </w:rPr>
            <w:tab/>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PAGEREF _Toc26227 \h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4</w:t>
          </w:r>
          <w:r>
            <w:rPr>
              <w:rFonts w:hint="eastAsia" w:ascii="Times New Roman" w:hAnsi="Times New Roman" w:eastAsia="宋体" w:cs="Times New Roman"/>
              <w:kern w:val="2"/>
              <w:sz w:val="24"/>
              <w:szCs w:val="24"/>
              <w:lang w:val="en-US" w:eastAsia="zh-CN" w:bidi="ar-SA"/>
            </w:rPr>
            <w:fldChar w:fldCharType="end"/>
          </w:r>
          <w:r>
            <w:rPr>
              <w:rFonts w:hint="default" w:ascii="仿宋" w:hAnsi="仿宋" w:eastAsia="仿宋" w:cs="仿宋"/>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_Toc17301 </w:instrText>
          </w:r>
          <w:r>
            <w:rPr>
              <w:rFonts w:hint="eastAsia" w:ascii="宋体" w:hAnsi="宋体" w:eastAsia="宋体" w:cs="宋体"/>
              <w:sz w:val="24"/>
              <w:szCs w:val="24"/>
              <w:lang w:val="en-US" w:eastAsia="zh-CN"/>
            </w:rPr>
            <w:fldChar w:fldCharType="separate"/>
          </w:r>
          <w:r>
            <w:rPr>
              <w:rFonts w:hint="eastAsia" w:ascii="宋体" w:hAnsi="宋体" w:eastAsia="宋体" w:cs="宋体"/>
              <w:bCs w:val="0"/>
              <w:sz w:val="24"/>
              <w:szCs w:val="24"/>
            </w:rPr>
            <w:t>（一）经济总量小，财政收入较低</w:t>
          </w:r>
          <w:r>
            <w:rPr>
              <w:rFonts w:hint="eastAsia" w:ascii="宋体" w:hAnsi="宋体" w:eastAsia="宋体" w:cs="宋体"/>
              <w:sz w:val="24"/>
              <w:szCs w:val="24"/>
            </w:rPr>
            <w:tab/>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PAGEREF _Toc17301 \h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4</w:t>
          </w:r>
          <w:r>
            <w:rPr>
              <w:rFonts w:hint="eastAsia" w:ascii="Times New Roman" w:hAnsi="Times New Roman" w:eastAsia="宋体" w:cs="Times New Roman"/>
              <w:kern w:val="2"/>
              <w:sz w:val="24"/>
              <w:szCs w:val="24"/>
              <w:lang w:val="en-US" w:eastAsia="zh-CN" w:bidi="ar-SA"/>
            </w:rPr>
            <w:fldChar w:fldCharType="end"/>
          </w:r>
          <w:r>
            <w:rPr>
              <w:rFonts w:hint="eastAsia" w:ascii="宋体" w:hAnsi="宋体" w:eastAsia="宋体" w:cs="宋体"/>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_Toc30749 </w:instrText>
          </w:r>
          <w:r>
            <w:rPr>
              <w:rFonts w:hint="eastAsia" w:ascii="宋体" w:hAnsi="宋体" w:eastAsia="宋体" w:cs="宋体"/>
              <w:sz w:val="24"/>
              <w:szCs w:val="24"/>
              <w:lang w:val="en-US" w:eastAsia="zh-CN"/>
            </w:rPr>
            <w:fldChar w:fldCharType="separate"/>
          </w:r>
          <w:r>
            <w:rPr>
              <w:rFonts w:hint="eastAsia" w:ascii="宋体" w:hAnsi="宋体" w:eastAsia="宋体" w:cs="宋体"/>
              <w:bCs w:val="0"/>
              <w:sz w:val="24"/>
              <w:szCs w:val="24"/>
            </w:rPr>
            <w:t>（二）人均耕地少，气候条件差</w:t>
          </w:r>
          <w:r>
            <w:rPr>
              <w:rFonts w:hint="eastAsia" w:ascii="宋体" w:hAnsi="宋体" w:eastAsia="宋体" w:cs="宋体"/>
              <w:sz w:val="24"/>
              <w:szCs w:val="24"/>
            </w:rPr>
            <w:tab/>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PAGEREF _Toc30749 \h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4</w:t>
          </w:r>
          <w:r>
            <w:rPr>
              <w:rFonts w:hint="eastAsia" w:ascii="Times New Roman" w:hAnsi="Times New Roman" w:eastAsia="宋体" w:cs="Times New Roman"/>
              <w:kern w:val="2"/>
              <w:sz w:val="24"/>
              <w:szCs w:val="24"/>
              <w:lang w:val="en-US" w:eastAsia="zh-CN" w:bidi="ar-SA"/>
            </w:rPr>
            <w:fldChar w:fldCharType="end"/>
          </w:r>
          <w:r>
            <w:rPr>
              <w:rFonts w:hint="eastAsia" w:ascii="宋体" w:hAnsi="宋体" w:eastAsia="宋体" w:cs="宋体"/>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_Toc15978 </w:instrText>
          </w:r>
          <w:r>
            <w:rPr>
              <w:rFonts w:hint="eastAsia" w:ascii="宋体" w:hAnsi="宋体" w:eastAsia="宋体" w:cs="宋体"/>
              <w:sz w:val="24"/>
              <w:szCs w:val="24"/>
              <w:lang w:val="en-US" w:eastAsia="zh-CN"/>
            </w:rPr>
            <w:fldChar w:fldCharType="separate"/>
          </w:r>
          <w:r>
            <w:rPr>
              <w:rFonts w:hint="eastAsia" w:ascii="宋体" w:hAnsi="宋体" w:eastAsia="宋体" w:cs="宋体"/>
              <w:bCs w:val="0"/>
              <w:sz w:val="24"/>
              <w:szCs w:val="24"/>
            </w:rPr>
            <w:t>（三）劳动力结构不合理，发展动能不足</w:t>
          </w:r>
          <w:r>
            <w:rPr>
              <w:rFonts w:hint="eastAsia" w:ascii="宋体" w:hAnsi="宋体" w:eastAsia="宋体" w:cs="宋体"/>
              <w:sz w:val="24"/>
              <w:szCs w:val="24"/>
            </w:rPr>
            <w:tab/>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PAGEREF _Toc15978 \h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5</w:t>
          </w:r>
          <w:r>
            <w:rPr>
              <w:rFonts w:hint="eastAsia" w:ascii="Times New Roman" w:hAnsi="Times New Roman" w:eastAsia="宋体" w:cs="Times New Roman"/>
              <w:kern w:val="2"/>
              <w:sz w:val="24"/>
              <w:szCs w:val="24"/>
              <w:lang w:val="en-US" w:eastAsia="zh-CN" w:bidi="ar-SA"/>
            </w:rPr>
            <w:fldChar w:fldCharType="end"/>
          </w:r>
          <w:r>
            <w:rPr>
              <w:rFonts w:hint="eastAsia" w:ascii="宋体" w:hAnsi="宋体" w:eastAsia="宋体" w:cs="宋体"/>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_Toc10436 </w:instrText>
          </w:r>
          <w:r>
            <w:rPr>
              <w:rFonts w:hint="eastAsia" w:ascii="宋体" w:hAnsi="宋体" w:eastAsia="宋体" w:cs="宋体"/>
              <w:sz w:val="24"/>
              <w:szCs w:val="24"/>
              <w:lang w:val="en-US" w:eastAsia="zh-CN"/>
            </w:rPr>
            <w:fldChar w:fldCharType="separate"/>
          </w:r>
          <w:r>
            <w:rPr>
              <w:rFonts w:hint="eastAsia" w:ascii="宋体" w:hAnsi="宋体" w:eastAsia="宋体" w:cs="宋体"/>
              <w:bCs w:val="0"/>
              <w:sz w:val="24"/>
              <w:szCs w:val="24"/>
            </w:rPr>
            <w:t>（四）产业化程度不高，产业链不完整</w:t>
          </w:r>
          <w:r>
            <w:rPr>
              <w:rFonts w:hint="eastAsia" w:ascii="宋体" w:hAnsi="宋体" w:eastAsia="宋体" w:cs="宋体"/>
              <w:sz w:val="24"/>
              <w:szCs w:val="24"/>
            </w:rPr>
            <w:tab/>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PAGEREF _Toc10436 \h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5</w:t>
          </w:r>
          <w:r>
            <w:rPr>
              <w:rFonts w:hint="eastAsia" w:ascii="Times New Roman" w:hAnsi="Times New Roman" w:eastAsia="宋体" w:cs="Times New Roman"/>
              <w:kern w:val="2"/>
              <w:sz w:val="24"/>
              <w:szCs w:val="24"/>
              <w:lang w:val="en-US" w:eastAsia="zh-CN" w:bidi="ar-SA"/>
            </w:rPr>
            <w:fldChar w:fldCharType="end"/>
          </w:r>
          <w:r>
            <w:rPr>
              <w:rFonts w:hint="eastAsia" w:ascii="宋体" w:hAnsi="宋体" w:eastAsia="宋体" w:cs="宋体"/>
              <w:sz w:val="24"/>
              <w:szCs w:val="24"/>
              <w:lang w:val="en-US"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_Toc14118 </w:instrText>
          </w:r>
          <w:r>
            <w:rPr>
              <w:rFonts w:hint="default" w:ascii="仿宋" w:hAnsi="仿宋" w:eastAsia="仿宋" w:cs="仿宋"/>
              <w:sz w:val="24"/>
              <w:szCs w:val="24"/>
              <w:lang w:val="en-US" w:eastAsia="zh-CN"/>
            </w:rPr>
            <w:fldChar w:fldCharType="separate"/>
          </w:r>
          <w:r>
            <w:rPr>
              <w:rFonts w:hint="eastAsia" w:ascii="黑体" w:hAnsi="黑体" w:eastAsia="黑体" w:cs="黑体"/>
              <w:sz w:val="24"/>
              <w:szCs w:val="24"/>
            </w:rPr>
            <w:t>三、围场县乡村振兴产业实践调研</w:t>
          </w:r>
          <w:r>
            <w:rPr>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_Toc14118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仿宋" w:hAnsi="仿宋" w:eastAsia="仿宋" w:cs="仿宋"/>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_Toc21533 </w:instrText>
          </w:r>
          <w:r>
            <w:rPr>
              <w:rFonts w:hint="default" w:ascii="仿宋" w:hAnsi="仿宋" w:eastAsia="仿宋" w:cs="仿宋"/>
              <w:sz w:val="24"/>
              <w:szCs w:val="24"/>
              <w:lang w:val="en-US" w:eastAsia="zh-CN"/>
            </w:rPr>
            <w:fldChar w:fldCharType="separate"/>
          </w:r>
          <w:r>
            <w:rPr>
              <w:rFonts w:hint="eastAsia" w:ascii="黑体" w:hAnsi="黑体" w:eastAsia="黑体" w:cs="黑体"/>
              <w:bCs w:val="0"/>
              <w:sz w:val="24"/>
              <w:szCs w:val="24"/>
            </w:rPr>
            <w:t>（一）乡村旅游产业，遍地开花</w:t>
          </w:r>
          <w:r>
            <w:rPr>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_Toc21533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仿宋" w:hAnsi="仿宋" w:eastAsia="仿宋" w:cs="仿宋"/>
              <w:sz w:val="24"/>
              <w:szCs w:val="24"/>
              <w:lang w:val="en-US" w:eastAsia="zh-CN"/>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_Toc21396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1、 塞罕坝旅游产业</w:t>
          </w:r>
          <w:r>
            <w:rPr>
              <w:rFonts w:hint="eastAsia" w:ascii="宋体" w:hAnsi="宋体" w:eastAsia="宋体" w:cs="宋体"/>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_Toc21396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eastAsia" w:ascii="宋体" w:hAnsi="宋体" w:eastAsia="宋体" w:cs="宋体"/>
              <w:sz w:val="24"/>
              <w:szCs w:val="24"/>
              <w:lang w:val="en-US" w:eastAsia="zh-CN"/>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_Toc1546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2、 “两亩天堂”自然营地</w:t>
          </w:r>
          <w:r>
            <w:rPr>
              <w:rFonts w:hint="eastAsia" w:ascii="宋体" w:hAnsi="宋体" w:eastAsia="宋体" w:cs="宋体"/>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eastAsia" w:ascii="宋体" w:hAnsi="宋体" w:eastAsia="宋体" w:cs="宋体"/>
              <w:sz w:val="24"/>
              <w:szCs w:val="24"/>
              <w:lang w:val="en-US" w:eastAsia="zh-CN"/>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_Toc70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3、 哈里哈镇民宿产业</w:t>
          </w:r>
          <w:r>
            <w:rPr>
              <w:rFonts w:hint="eastAsia" w:ascii="宋体" w:hAnsi="宋体" w:eastAsia="宋体" w:cs="宋体"/>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eastAsia" w:ascii="宋体" w:hAnsi="宋体" w:eastAsia="宋体" w:cs="宋体"/>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_Toc12329 </w:instrText>
          </w:r>
          <w:r>
            <w:rPr>
              <w:rFonts w:hint="default" w:ascii="仿宋" w:hAnsi="仿宋" w:eastAsia="仿宋" w:cs="仿宋"/>
              <w:sz w:val="24"/>
              <w:szCs w:val="24"/>
              <w:lang w:val="en-US" w:eastAsia="zh-CN"/>
            </w:rPr>
            <w:fldChar w:fldCharType="separate"/>
          </w:r>
          <w:r>
            <w:rPr>
              <w:rFonts w:hint="eastAsia" w:ascii="黑体" w:hAnsi="黑体" w:eastAsia="黑体" w:cs="黑体"/>
              <w:bCs w:val="0"/>
              <w:sz w:val="24"/>
              <w:szCs w:val="24"/>
            </w:rPr>
            <w:t>（二）产业转型升级新探索</w:t>
          </w:r>
          <w:r>
            <w:rPr>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_Toc12329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仿宋" w:hAnsi="仿宋" w:eastAsia="仿宋" w:cs="仿宋"/>
              <w:sz w:val="24"/>
              <w:szCs w:val="24"/>
              <w:lang w:val="en-US"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_Toc2670 </w:instrText>
          </w:r>
          <w:r>
            <w:rPr>
              <w:rFonts w:hint="default" w:ascii="仿宋" w:hAnsi="仿宋" w:eastAsia="仿宋" w:cs="仿宋"/>
              <w:sz w:val="24"/>
              <w:szCs w:val="24"/>
              <w:lang w:val="en-US" w:eastAsia="zh-CN"/>
            </w:rPr>
            <w:fldChar w:fldCharType="separate"/>
          </w:r>
          <w:r>
            <w:rPr>
              <w:rFonts w:hint="eastAsia" w:ascii="黑体" w:hAnsi="黑体" w:eastAsia="黑体" w:cs="黑体"/>
              <w:sz w:val="24"/>
              <w:szCs w:val="24"/>
            </w:rPr>
            <w:t>四、国都证券助力乡村振兴的实践建议</w:t>
          </w:r>
          <w:r>
            <w:rPr>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_Toc2670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仿宋" w:hAnsi="仿宋" w:eastAsia="仿宋" w:cs="仿宋"/>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_Toc11458 </w:instrText>
          </w:r>
          <w:r>
            <w:rPr>
              <w:rFonts w:hint="eastAsia" w:ascii="宋体" w:hAnsi="宋体" w:eastAsia="宋体" w:cs="宋体"/>
              <w:sz w:val="24"/>
              <w:szCs w:val="24"/>
              <w:lang w:val="en-US" w:eastAsia="zh-CN"/>
            </w:rPr>
            <w:fldChar w:fldCharType="separate"/>
          </w:r>
          <w:r>
            <w:rPr>
              <w:rFonts w:hint="eastAsia" w:ascii="宋体" w:hAnsi="宋体" w:eastAsia="宋体" w:cs="宋体"/>
              <w:bCs w:val="0"/>
              <w:sz w:val="24"/>
              <w:szCs w:val="24"/>
            </w:rPr>
            <w:t>（一）打造绿色生态高质量发展强县</w:t>
          </w:r>
          <w:r>
            <w:rPr>
              <w:rFonts w:hint="eastAsia" w:ascii="宋体" w:hAnsi="宋体" w:eastAsia="宋体" w:cs="宋体"/>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_Toc11458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eastAsia" w:ascii="宋体" w:hAnsi="宋体" w:eastAsia="宋体" w:cs="宋体"/>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_Toc9612 </w:instrText>
          </w:r>
          <w:r>
            <w:rPr>
              <w:rFonts w:hint="eastAsia" w:ascii="宋体" w:hAnsi="宋体" w:eastAsia="宋体" w:cs="宋体"/>
              <w:sz w:val="24"/>
              <w:szCs w:val="24"/>
              <w:lang w:val="en-US" w:eastAsia="zh-CN"/>
            </w:rPr>
            <w:fldChar w:fldCharType="separate"/>
          </w:r>
          <w:r>
            <w:rPr>
              <w:rFonts w:hint="eastAsia" w:ascii="宋体" w:hAnsi="宋体" w:eastAsia="宋体" w:cs="宋体"/>
              <w:bCs w:val="0"/>
              <w:sz w:val="24"/>
              <w:szCs w:val="24"/>
            </w:rPr>
            <w:t>（二）以点带面，集中资源打造亮点产业</w:t>
          </w:r>
          <w:r>
            <w:rPr>
              <w:rFonts w:hint="eastAsia" w:ascii="宋体" w:hAnsi="宋体" w:eastAsia="宋体" w:cs="宋体"/>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_Toc9612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eastAsia" w:ascii="宋体" w:hAnsi="宋体" w:eastAsia="宋体" w:cs="宋体"/>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_Toc585 </w:instrText>
          </w:r>
          <w:r>
            <w:rPr>
              <w:rFonts w:hint="eastAsia" w:ascii="宋体" w:hAnsi="宋体" w:eastAsia="宋体" w:cs="宋体"/>
              <w:sz w:val="24"/>
              <w:szCs w:val="24"/>
              <w:lang w:val="en-US" w:eastAsia="zh-CN"/>
            </w:rPr>
            <w:fldChar w:fldCharType="separate"/>
          </w:r>
          <w:r>
            <w:rPr>
              <w:rFonts w:hint="eastAsia" w:ascii="宋体" w:hAnsi="宋体" w:eastAsia="宋体" w:cs="宋体"/>
              <w:bCs w:val="0"/>
              <w:sz w:val="24"/>
              <w:szCs w:val="24"/>
            </w:rPr>
            <w:t>（三）加强政府主导，规范化运作，打通融资渠道</w:t>
          </w:r>
          <w:r>
            <w:rPr>
              <w:rFonts w:hint="eastAsia" w:ascii="宋体" w:hAnsi="宋体" w:eastAsia="宋体" w:cs="宋体"/>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_Toc585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eastAsia" w:ascii="宋体" w:hAnsi="宋体" w:eastAsia="宋体" w:cs="宋体"/>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_Toc9073 </w:instrText>
          </w:r>
          <w:r>
            <w:rPr>
              <w:rFonts w:hint="eastAsia" w:ascii="宋体" w:hAnsi="宋体" w:eastAsia="宋体" w:cs="宋体"/>
              <w:sz w:val="24"/>
              <w:szCs w:val="24"/>
              <w:lang w:val="en-US" w:eastAsia="zh-CN"/>
            </w:rPr>
            <w:fldChar w:fldCharType="separate"/>
          </w:r>
          <w:r>
            <w:rPr>
              <w:rFonts w:hint="eastAsia" w:ascii="宋体" w:hAnsi="宋体" w:eastAsia="宋体" w:cs="宋体"/>
              <w:bCs w:val="0"/>
              <w:sz w:val="24"/>
              <w:szCs w:val="24"/>
            </w:rPr>
            <w:t>（四）加大宣传，打造围场特色品牌</w:t>
          </w:r>
          <w:r>
            <w:rPr>
              <w:rFonts w:hint="eastAsia" w:ascii="宋体" w:hAnsi="宋体" w:eastAsia="宋体" w:cs="宋体"/>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_Toc9073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eastAsia" w:ascii="宋体" w:hAnsi="宋体" w:eastAsia="宋体" w:cs="宋体"/>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\l _Toc13263 </w:instrText>
          </w:r>
          <w:r>
            <w:rPr>
              <w:rFonts w:hint="default" w:ascii="仿宋" w:hAnsi="仿宋" w:eastAsia="仿宋" w:cs="仿宋"/>
              <w:sz w:val="24"/>
              <w:szCs w:val="24"/>
              <w:lang w:val="en-US" w:eastAsia="zh-CN"/>
            </w:rPr>
            <w:fldChar w:fldCharType="separate"/>
          </w:r>
          <w:r>
            <w:rPr>
              <w:rFonts w:hint="eastAsia" w:ascii="黑体" w:hAnsi="黑体" w:eastAsia="黑体" w:cs="黑体"/>
              <w:bCs w:val="0"/>
              <w:sz w:val="24"/>
              <w:szCs w:val="24"/>
              <w:lang w:val="en-US" w:eastAsia="zh-CN"/>
            </w:rPr>
            <w:t>参考文献</w:t>
          </w:r>
          <w:r>
            <w:rPr>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_Toc13263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仿宋" w:hAnsi="仿宋" w:eastAsia="仿宋" w:cs="仿宋"/>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default" w:ascii="仿宋" w:hAnsi="仿宋" w:eastAsia="仿宋" w:cs="仿宋"/>
              <w:szCs w:val="24"/>
              <w:lang w:val="en-US" w:eastAsia="zh-CN"/>
            </w:rPr>
            <w:fldChar w:fldCharType="end"/>
          </w:r>
        </w:p>
      </w:sdtContent>
    </w:sdt>
    <w:p>
      <w:pPr>
        <w:spacing w:line="360" w:lineRule="auto"/>
        <w:ind w:firstLine="560" w:firstLineChars="200"/>
        <w:jc w:val="center"/>
        <w:outlineLvl w:val="8"/>
        <w:rPr>
          <w:rFonts w:hint="eastAsia" w:ascii="黑体" w:hAnsi="黑体" w:eastAsia="黑体" w:cs="黑体"/>
          <w:sz w:val="28"/>
          <w:szCs w:val="28"/>
        </w:rPr>
      </w:pPr>
    </w:p>
    <w:p>
      <w:pPr>
        <w:rPr>
          <w:rFonts w:hint="eastAsia" w:ascii="黑体" w:hAnsi="黑体" w:eastAsia="黑体" w:cs="黑体"/>
          <w:b/>
          <w:bCs/>
          <w:sz w:val="32"/>
          <w:szCs w:val="32"/>
        </w:rPr>
        <w:sectPr>
          <w:footerReference r:id="rId4" w:type="default"/>
          <w:pgSz w:w="11906" w:h="16838"/>
          <w:pgMar w:top="1440" w:right="1800" w:bottom="1440" w:left="1800" w:header="851" w:footer="992" w:gutter="0"/>
          <w:cols w:space="425" w:num="1"/>
          <w:docGrid w:type="lines" w:linePitch="312" w:charSpace="0"/>
        </w:sectPr>
      </w:pPr>
    </w:p>
    <w:p>
      <w:pPr>
        <w:spacing w:line="360" w:lineRule="auto"/>
        <w:jc w:val="center"/>
        <w:rPr>
          <w:rFonts w:hint="eastAsia" w:ascii="黑体" w:hAnsi="黑体" w:eastAsia="黑体" w:cs="黑体"/>
          <w:b/>
          <w:bCs/>
          <w:sz w:val="32"/>
          <w:szCs w:val="32"/>
        </w:rPr>
      </w:pPr>
      <w:r>
        <w:rPr>
          <w:rFonts w:hint="eastAsia" w:ascii="黑体" w:hAnsi="黑体" w:eastAsia="黑体" w:cs="黑体"/>
          <w:b/>
          <w:bCs/>
          <w:sz w:val="32"/>
          <w:szCs w:val="32"/>
        </w:rPr>
        <w:t>深入研究围场满族蒙古族自治县乡村振兴发展之路</w:t>
      </w:r>
    </w:p>
    <w:p>
      <w:pPr>
        <w:spacing w:line="360" w:lineRule="auto"/>
        <w:ind w:firstLine="480" w:firstLineChars="200"/>
        <w:jc w:val="right"/>
        <w:outlineLvl w:val="0"/>
        <w:rPr>
          <w:rFonts w:hint="default" w:ascii="黑体" w:hAnsi="黑体" w:eastAsia="黑体" w:cs="黑体"/>
          <w:sz w:val="24"/>
          <w:szCs w:val="24"/>
          <w:lang w:val="en-US" w:eastAsia="zh-CN"/>
        </w:rPr>
      </w:pPr>
      <w:r>
        <w:rPr>
          <w:rFonts w:hint="eastAsia" w:ascii="宋体" w:hAnsi="宋体" w:eastAsia="宋体" w:cs="宋体"/>
          <w:b w:val="0"/>
          <w:bCs w:val="0"/>
          <w:sz w:val="24"/>
          <w:szCs w:val="24"/>
          <w:lang w:val="en-US" w:eastAsia="zh-CN"/>
        </w:rPr>
        <w:t>国都证券股份有限公司 王定军</w:t>
      </w:r>
      <w:r>
        <w:rPr>
          <w:rStyle w:val="10"/>
          <w:rFonts w:hint="eastAsia" w:ascii="宋体" w:hAnsi="宋体" w:eastAsia="宋体" w:cs="宋体"/>
          <w:b w:val="0"/>
          <w:bCs w:val="0"/>
          <w:sz w:val="24"/>
          <w:szCs w:val="24"/>
          <w:lang w:val="en-US" w:eastAsia="zh-CN"/>
        </w:rPr>
        <w:footnoteReference w:id="0"/>
      </w:r>
    </w:p>
    <w:p>
      <w:pPr>
        <w:spacing w:line="360" w:lineRule="auto"/>
        <w:ind w:firstLine="560" w:firstLineChars="200"/>
        <w:jc w:val="center"/>
        <w:outlineLvl w:val="0"/>
        <w:rPr>
          <w:rFonts w:ascii="黑体" w:hAnsi="黑体" w:eastAsia="黑体" w:cs="黑体"/>
          <w:sz w:val="28"/>
          <w:szCs w:val="28"/>
        </w:rPr>
      </w:pPr>
      <w:bookmarkStart w:id="0" w:name="_Toc29722"/>
      <w:r>
        <w:rPr>
          <w:rFonts w:hint="eastAsia" w:ascii="黑体" w:hAnsi="黑体" w:eastAsia="黑体" w:cs="黑体"/>
          <w:sz w:val="28"/>
          <w:szCs w:val="28"/>
        </w:rPr>
        <w:t>前</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言</w:t>
      </w:r>
      <w:bookmarkEnd w:id="0"/>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习近平总书记强调，“民族要复兴，乡村必振兴”。乡村振兴是中华民族伟大复兴的一项重要任务，进入实现第二个百年奋斗目标新征程，党中央审时度势的将“三农”工作重心历史性的转向全面推进乡村振兴。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国都证券自2016年与围场满族蒙古族自治县结对帮扶以来，深耕围场，先后以智慧帮扶、消费帮扶、党建帮扶、产业帮扶、公益帮扶等多措并举的方式，积极促进金融企业精准扶贫工作扎实有效推进，践行社会责任。2014年建档立卡之初，围场县有159个贫困村、6.4万户、14.2万贫困人口，贫困发生率达到26.3%，是“国家扶贫开发重点县”、“燕山—太行山集中连片特困地区重点县、河北省十个深度贫困县之一。2020年，经过不懈的努力，围场满族蒙古族自治县退出贫困县序列，打赢了脱贫攻坚战，进入巩固脱贫攻坚成果、接续乡村振兴发展的新篇章。2022年，面对乡村振兴的新任务，围场县大力弘扬脱贫攻坚精神和塞罕坝精神，抢抓机遇、奋发进取，奋力开创新时期“三农”工作新局面，为全面推进乡村振兴、建设高质量发展的生态强县而奋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我们深入研究分析围场满族蒙古族自治县脱贫攻坚成果案例，总结脱贫攻坚经验，聚焦乡村振兴发展新机遇，结合围场县县域经济社会发展状况，充分发挥金融企业的优势，整合各方资源开展此次调查研究。</w:t>
      </w:r>
    </w:p>
    <w:p>
      <w:pPr>
        <w:spacing w:line="360" w:lineRule="auto"/>
        <w:ind w:firstLine="600" w:firstLineChars="200"/>
        <w:outlineLvl w:val="0"/>
        <w:rPr>
          <w:rFonts w:ascii="黑体" w:hAnsi="黑体" w:eastAsia="黑体" w:cs="黑体"/>
          <w:sz w:val="30"/>
          <w:szCs w:val="30"/>
        </w:rPr>
      </w:pPr>
      <w:bookmarkStart w:id="1" w:name="_Toc29792"/>
      <w:r>
        <w:rPr>
          <w:rFonts w:hint="eastAsia" w:ascii="黑体" w:hAnsi="黑体" w:eastAsia="黑体" w:cs="黑体"/>
          <w:sz w:val="30"/>
          <w:szCs w:val="30"/>
        </w:rPr>
        <w:t>一、县域经济概要</w:t>
      </w:r>
      <w:bookmarkEnd w:id="1"/>
    </w:p>
    <w:p>
      <w:pPr>
        <w:spacing w:line="360" w:lineRule="auto"/>
        <w:ind w:firstLine="560" w:firstLineChars="200"/>
        <w:outlineLvl w:val="1"/>
        <w:rPr>
          <w:rFonts w:hint="eastAsia" w:ascii="黑体" w:hAnsi="黑体" w:eastAsia="黑体" w:cs="黑体"/>
          <w:b w:val="0"/>
          <w:bCs w:val="0"/>
          <w:sz w:val="28"/>
          <w:szCs w:val="28"/>
        </w:rPr>
      </w:pPr>
      <w:bookmarkStart w:id="2" w:name="_Toc5275"/>
      <w:r>
        <w:rPr>
          <w:rFonts w:hint="eastAsia" w:ascii="黑体" w:hAnsi="黑体" w:eastAsia="黑体" w:cs="黑体"/>
          <w:b w:val="0"/>
          <w:bCs w:val="0"/>
          <w:sz w:val="28"/>
          <w:szCs w:val="28"/>
        </w:rPr>
        <w:t>（一）基本情况</w:t>
      </w:r>
      <w:bookmarkEnd w:id="2"/>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围场满族蒙古族自治县，隶属于河北省承德市，位于河北省承德市北部，东经116°32′～118°14′，北纬41°35′～42°40′，东、西、北三面分别与内蒙古的喀喇沁旗、赤峰市、克什克腾旗、多伦县接壤，西南和南面分别与丰宁满族自治县、隆化县相接。县境东西长138公里，南北宽118公里，总面积9219平方公里。县辖14个镇、23个乡，共312个行政村。总人口53.1万人，是以满族、蒙古族为主的少数民族聚居地族。2021年，实现地区生产总值（GDP）191.924亿元。先后被确定为中国马铃薯之乡、国家级无公害蔬菜生产基地、全国商品牛基地县、中国旅游明星县、第一批国家农业可持续发展试验示范区、国家首批绿色能源示范县等。</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-52705</wp:posOffset>
            </wp:positionH>
            <wp:positionV relativeFrom="paragraph">
              <wp:posOffset>6350</wp:posOffset>
            </wp:positionV>
            <wp:extent cx="5519420" cy="2030095"/>
            <wp:effectExtent l="4445" t="4445" r="10160" b="13335"/>
            <wp:wrapSquare wrapText="bothSides"/>
            <wp:docPr id="123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宋体" w:hAnsi="宋体" w:eastAsia="宋体" w:cs="宋体"/>
          <w:sz w:val="24"/>
          <w:szCs w:val="24"/>
          <w:lang w:val="en-US" w:eastAsia="zh-CN"/>
        </w:rPr>
        <w:t>图1：2011-2021年全县生产总值及增速</w:t>
      </w:r>
      <w:r>
        <w:rPr>
          <w:rStyle w:val="10"/>
          <w:rFonts w:hint="eastAsia" w:ascii="宋体" w:hAnsi="宋体" w:eastAsia="宋体" w:cs="宋体"/>
          <w:sz w:val="24"/>
          <w:szCs w:val="24"/>
          <w:lang w:val="en-US" w:eastAsia="zh-CN"/>
        </w:rPr>
        <w:footnoteReference w:id="1"/>
      </w:r>
    </w:p>
    <w:p>
      <w:pPr>
        <w:spacing w:line="360" w:lineRule="auto"/>
        <w:ind w:firstLine="480" w:firstLineChars="200"/>
        <w:jc w:val="center"/>
        <w:rPr>
          <w:rFonts w:hint="default" w:ascii="宋体" w:hAnsi="宋体" w:eastAsia="宋体" w:cs="宋体"/>
          <w:sz w:val="24"/>
          <w:szCs w:val="24"/>
          <w:lang w:val="en-US" w:eastAsia="zh-CN"/>
        </w:rPr>
      </w:pP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2021年全县地区生产总值实现1919240万元，比上年增长8.4%，其中第一产业实现增加值752175万元，增长8.5%；第二产业实现增加值485897万元，增长4.2%；第三产业实现增加值681168万元，增长10.9%。全部财政收入119503万元，比上年增长1.4%。</w:t>
      </w:r>
      <w:r>
        <w:rPr>
          <w:rFonts w:hint="eastAsia" w:ascii="宋体" w:hAnsi="宋体" w:eastAsia="宋体" w:cs="宋体"/>
          <w:sz w:val="24"/>
          <w:szCs w:val="24"/>
          <w:highlight w:val="none"/>
        </w:rPr>
        <w:t>地区特色农业、旅游经济等发展水平逐步提升，带动了到期人均收入等各项经济指标增长。</w:t>
      </w:r>
    </w:p>
    <w:p>
      <w:pPr>
        <w:spacing w:line="360" w:lineRule="auto"/>
        <w:ind w:firstLine="560" w:firstLineChars="200"/>
        <w:outlineLvl w:val="1"/>
        <w:rPr>
          <w:rFonts w:hint="eastAsia" w:ascii="黑体" w:hAnsi="黑体" w:eastAsia="黑体" w:cs="黑体"/>
          <w:b w:val="0"/>
          <w:bCs w:val="0"/>
          <w:sz w:val="28"/>
          <w:szCs w:val="28"/>
        </w:rPr>
      </w:pPr>
      <w:bookmarkStart w:id="3" w:name="_Toc10231"/>
      <w:r>
        <w:rPr>
          <w:rFonts w:hint="eastAsia" w:ascii="黑体" w:hAnsi="黑体" w:eastAsia="黑体" w:cs="黑体"/>
          <w:b w:val="0"/>
          <w:bCs w:val="0"/>
          <w:sz w:val="28"/>
          <w:szCs w:val="28"/>
        </w:rPr>
        <w:t>（二）农业产业</w:t>
      </w:r>
      <w:bookmarkEnd w:id="3"/>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围场县主要农业产业为马铃薯、玉米、</w:t>
      </w:r>
      <w:r>
        <w:rPr>
          <w:rFonts w:hint="eastAsia" w:ascii="宋体" w:hAnsi="宋体" w:eastAsia="宋体" w:cs="宋体"/>
          <w:sz w:val="24"/>
          <w:szCs w:val="24"/>
          <w:lang w:val="en-US" w:eastAsia="zh-CN"/>
        </w:rPr>
        <w:t>蔬菜</w:t>
      </w:r>
      <w:r>
        <w:rPr>
          <w:rFonts w:hint="eastAsia" w:ascii="宋体" w:hAnsi="宋体" w:eastAsia="宋体" w:cs="宋体"/>
          <w:sz w:val="24"/>
          <w:szCs w:val="24"/>
        </w:rPr>
        <w:t>等，</w:t>
      </w:r>
      <w:r>
        <w:rPr>
          <w:rFonts w:hint="eastAsia" w:ascii="宋体" w:hAnsi="宋体" w:eastAsia="宋体" w:cs="宋体"/>
          <w:sz w:val="24"/>
          <w:szCs w:val="24"/>
          <w:lang w:val="en-US" w:eastAsia="zh-CN"/>
        </w:rPr>
        <w:t>2021</w:t>
      </w:r>
      <w:r>
        <w:rPr>
          <w:rFonts w:hint="eastAsia" w:ascii="宋体" w:hAnsi="宋体" w:eastAsia="宋体" w:cs="宋体"/>
          <w:sz w:val="24"/>
          <w:szCs w:val="24"/>
        </w:rPr>
        <w:t>全年</w:t>
      </w:r>
      <w:r>
        <w:rPr>
          <w:rFonts w:hint="eastAsia" w:ascii="宋体" w:hAnsi="宋体" w:eastAsia="宋体" w:cs="宋体"/>
          <w:sz w:val="24"/>
          <w:szCs w:val="24"/>
          <w:lang w:eastAsia="zh-CN"/>
        </w:rPr>
        <w:t>，</w:t>
      </w:r>
      <w:r>
        <w:rPr>
          <w:rFonts w:hint="eastAsia" w:ascii="宋体" w:hAnsi="宋体" w:eastAsia="宋体" w:cs="宋体"/>
          <w:sz w:val="24"/>
          <w:szCs w:val="24"/>
        </w:rPr>
        <w:t>实现农林牧渔业总产值1138811万元，比上年增长9.2%，其中农业产值683417万元，增长8.3%；林业产值139007万元，增长 10.7%；牧业产值306953万元，增长10.4%；渔业产值221万元，下降57.2%；农林牧渔服务业产值9213万元，增长6.7%。</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农业产业化总量728499万元，产业化经营率为58.4%。龙头企业32家，龙头企业销售收入实现132294万元；中介服务组织1个，实现销售收入601万元；农产品生产基地4个，基地销售产值595604万元。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全县农作物总播种面积106146公顷（159.2万亩）</w:t>
      </w:r>
      <w:r>
        <w:rPr>
          <w:rFonts w:hint="eastAsia" w:ascii="宋体" w:hAnsi="宋体" w:eastAsia="宋体" w:cs="宋体"/>
          <w:sz w:val="24"/>
          <w:szCs w:val="24"/>
          <w:lang w:eastAsia="zh-CN"/>
        </w:rPr>
        <w:t>。</w:t>
      </w:r>
      <w:r>
        <w:rPr>
          <w:rFonts w:hint="eastAsia" w:ascii="宋体" w:hAnsi="宋体" w:eastAsia="宋体" w:cs="宋体"/>
          <w:sz w:val="24"/>
          <w:szCs w:val="24"/>
        </w:rPr>
        <w:t>其中粮食作物播种面积78919公顷（118.4万亩）；经济作物播种面积27227公顷（40.8万亩）。粮食作物播种面积中，马铃薯43235公顷(65.2万亩)</w:t>
      </w:r>
      <w:r>
        <w:rPr>
          <w:rFonts w:hint="eastAsia" w:ascii="宋体" w:hAnsi="宋体" w:eastAsia="宋体" w:cs="宋体"/>
          <w:sz w:val="24"/>
          <w:szCs w:val="24"/>
          <w:lang w:eastAsia="zh-CN"/>
        </w:rPr>
        <w:t>，</w:t>
      </w:r>
      <w:r>
        <w:rPr>
          <w:rFonts w:hint="eastAsia" w:ascii="宋体" w:hAnsi="宋体" w:eastAsia="宋体" w:cs="宋体"/>
          <w:sz w:val="24"/>
          <w:szCs w:val="24"/>
        </w:rPr>
        <w:t>玉米26935公顷(40.4万亩)。经济作物播种面积中，油料3853公顷,药材1232公顷；蔬菜14805公顷（22.2万亩)，其中设施菜865公顷，增长6.7%。</w:t>
      </w:r>
    </w:p>
    <w:p>
      <w:pPr>
        <w:spacing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rPr>
        <w:t xml:space="preserve">粮食总产量455408吨，较去年增加169吨。其中马铃薯总产量（折粮）290104吨，下降 15.4%；玉米总产量136223吨，增长56.1%。油料总产量8239吨，下降8.9%。蔬菜总产量984731吨，增长9.5%，其中胡萝卜377165吨，下降0.5%；大白菜313443吨，增长12.4%；卷心菜118935吨，增长36.5%。水果总产量228099吨,增长4.5%，食用菌总产量554吨，下降79.2%；设施蔬菜产量53205吨，增长11.1%；中草药总产量29440吨，增长71.6%。 </w:t>
      </w:r>
    </w:p>
    <w:p>
      <w:pPr>
        <w:spacing w:line="360" w:lineRule="auto"/>
        <w:ind w:firstLine="560" w:firstLineChars="200"/>
        <w:outlineLvl w:val="1"/>
        <w:rPr>
          <w:rFonts w:hint="eastAsia" w:ascii="黑体" w:hAnsi="黑体" w:eastAsia="黑体" w:cs="黑体"/>
          <w:b w:val="0"/>
          <w:bCs w:val="0"/>
          <w:sz w:val="28"/>
          <w:szCs w:val="28"/>
        </w:rPr>
      </w:pPr>
      <w:bookmarkStart w:id="4" w:name="_Toc19502"/>
      <w:r>
        <w:rPr>
          <w:rFonts w:hint="eastAsia" w:ascii="黑体" w:hAnsi="黑体" w:eastAsia="黑体" w:cs="黑体"/>
          <w:b w:val="0"/>
          <w:bCs w:val="0"/>
          <w:sz w:val="28"/>
          <w:szCs w:val="28"/>
        </w:rPr>
        <w:t>（三）旅游业</w:t>
      </w:r>
      <w:bookmarkEnd w:id="4"/>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围场县曾是著名的清代皇家猎苑，有众多富有传奇色彩的历史文物古迹和自然景观。境内现存有康熙点将台、乾隆七通碑、将军泡子、燕赵古长城等历史遗迹60多</w:t>
      </w:r>
      <w:r>
        <w:rPr>
          <w:rFonts w:hint="eastAsia" w:ascii="宋体" w:hAnsi="宋体" w:eastAsia="宋体" w:cs="宋体"/>
          <w:sz w:val="24"/>
          <w:szCs w:val="24"/>
          <w:lang w:val="en-US" w:eastAsia="zh-CN"/>
        </w:rPr>
        <w:t>处</w:t>
      </w:r>
      <w:r>
        <w:rPr>
          <w:rFonts w:hint="eastAsia" w:ascii="宋体" w:hAnsi="宋体" w:eastAsia="宋体" w:cs="宋体"/>
          <w:sz w:val="24"/>
          <w:szCs w:val="24"/>
        </w:rPr>
        <w:t>，拥有100万亩人工林的塞罕坝国家级森林公园，20万亩优质草场红松洼国家级草原自然保护区和御道口草原三大景区的东中西三条旅游线，围场已成为京北黄金旅游线和承德避暑山庄及周围寺庙的重要组成部分，先后被国家有关部门命名为“全国生态示范区”、国家四A级景区、被省政府命名为“生态旅游示范区”。</w:t>
      </w:r>
    </w:p>
    <w:p>
      <w:pPr>
        <w:spacing w:line="360" w:lineRule="auto"/>
        <w:ind w:firstLine="4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2021年</w:t>
      </w:r>
      <w:r>
        <w:rPr>
          <w:rFonts w:hint="eastAsia" w:ascii="宋体" w:hAnsi="宋体" w:eastAsia="宋体" w:cs="宋体"/>
          <w:sz w:val="24"/>
          <w:szCs w:val="24"/>
          <w:highlight w:val="none"/>
        </w:rPr>
        <w:t>全年，接待游客215万人次，实现旅游综合收入15.69亿元以上，因疫情影响同比分别下降45.6%和44.9%；乡村旅游接待人数45万人次，实现乡村旅游和休闲农业综合收入1.35亿元</w:t>
      </w:r>
      <w:r>
        <w:rPr>
          <w:rFonts w:hint="eastAsia" w:ascii="宋体" w:hAnsi="宋体" w:eastAsia="宋体" w:cs="宋体"/>
          <w:sz w:val="24"/>
          <w:szCs w:val="24"/>
          <w:highlight w:val="none"/>
          <w:lang w:eastAsia="zh-CN"/>
        </w:rPr>
        <w:t>。</w:t>
      </w:r>
    </w:p>
    <w:p>
      <w:pPr>
        <w:spacing w:line="360" w:lineRule="auto"/>
        <w:ind w:firstLine="560" w:firstLineChars="200"/>
        <w:outlineLvl w:val="1"/>
        <w:rPr>
          <w:rFonts w:hint="eastAsia" w:ascii="黑体" w:hAnsi="黑体" w:eastAsia="黑体" w:cs="黑体"/>
          <w:b w:val="0"/>
          <w:bCs w:val="0"/>
          <w:sz w:val="28"/>
          <w:szCs w:val="28"/>
        </w:rPr>
      </w:pPr>
      <w:bookmarkStart w:id="5" w:name="_Toc21844"/>
      <w:r>
        <w:rPr>
          <w:rFonts w:hint="eastAsia" w:ascii="黑体" w:hAnsi="黑体" w:eastAsia="黑体" w:cs="黑体"/>
          <w:b w:val="0"/>
          <w:bCs w:val="0"/>
          <w:sz w:val="28"/>
          <w:szCs w:val="28"/>
        </w:rPr>
        <w:t>（四）工业产业</w:t>
      </w:r>
      <w:bookmarkEnd w:id="5"/>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围场县</w:t>
      </w:r>
      <w:r>
        <w:rPr>
          <w:rFonts w:hint="eastAsia" w:ascii="宋体" w:hAnsi="宋体" w:eastAsia="宋体" w:cs="宋体"/>
          <w:sz w:val="24"/>
          <w:szCs w:val="24"/>
          <w:lang w:val="en-US" w:eastAsia="zh-CN"/>
        </w:rPr>
        <w:t>2021年</w:t>
      </w:r>
      <w:r>
        <w:rPr>
          <w:rFonts w:hint="eastAsia" w:ascii="宋体" w:hAnsi="宋体" w:eastAsia="宋体" w:cs="宋体"/>
          <w:sz w:val="24"/>
          <w:szCs w:val="24"/>
        </w:rPr>
        <w:t>全部工业实现增加值</w:t>
      </w:r>
      <w:r>
        <w:rPr>
          <w:rFonts w:hint="eastAsia" w:ascii="宋体" w:hAnsi="宋体" w:eastAsia="宋体" w:cs="宋体"/>
          <w:sz w:val="24"/>
          <w:szCs w:val="24"/>
          <w:lang w:val="en-US" w:eastAsia="zh-CN"/>
        </w:rPr>
        <w:t>376677</w:t>
      </w:r>
      <w:r>
        <w:rPr>
          <w:rFonts w:hint="eastAsia" w:ascii="宋体" w:hAnsi="宋体" w:eastAsia="宋体" w:cs="宋体"/>
          <w:sz w:val="24"/>
          <w:szCs w:val="24"/>
        </w:rPr>
        <w:t>万元，比上年增长</w:t>
      </w:r>
      <w:r>
        <w:rPr>
          <w:rFonts w:hint="eastAsia" w:ascii="宋体" w:hAnsi="宋体" w:eastAsia="宋体" w:cs="宋体"/>
          <w:sz w:val="24"/>
          <w:szCs w:val="24"/>
          <w:lang w:val="en-US" w:eastAsia="zh-CN"/>
        </w:rPr>
        <w:t>8.2</w:t>
      </w:r>
      <w:r>
        <w:rPr>
          <w:rFonts w:hint="eastAsia" w:ascii="宋体" w:hAnsi="宋体" w:eastAsia="宋体" w:cs="宋体"/>
          <w:sz w:val="24"/>
          <w:szCs w:val="24"/>
        </w:rPr>
        <w:t>%。</w:t>
      </w:r>
      <w:r>
        <w:rPr>
          <w:rFonts w:hint="eastAsia" w:ascii="宋体" w:hAnsi="宋体" w:eastAsia="宋体" w:cs="宋体"/>
          <w:sz w:val="24"/>
          <w:szCs w:val="24"/>
          <w:lang w:val="en-US" w:eastAsia="zh-CN"/>
        </w:rPr>
        <w:t>规模以上</w:t>
      </w:r>
      <w:r>
        <w:rPr>
          <w:rFonts w:hint="eastAsia" w:ascii="宋体" w:hAnsi="宋体" w:eastAsia="宋体" w:cs="宋体"/>
          <w:sz w:val="24"/>
          <w:szCs w:val="24"/>
        </w:rPr>
        <w:t>工业</w:t>
      </w:r>
      <w:r>
        <w:rPr>
          <w:rFonts w:hint="eastAsia" w:ascii="宋体" w:hAnsi="宋体" w:eastAsia="宋体" w:cs="宋体"/>
          <w:sz w:val="24"/>
          <w:szCs w:val="24"/>
          <w:lang w:val="en-US" w:eastAsia="zh-CN"/>
        </w:rPr>
        <w:t>企业</w:t>
      </w:r>
      <w:r>
        <w:rPr>
          <w:rFonts w:hint="eastAsia" w:ascii="宋体" w:hAnsi="宋体" w:eastAsia="宋体" w:cs="宋体"/>
          <w:sz w:val="24"/>
          <w:szCs w:val="24"/>
        </w:rPr>
        <w:t>增加值增长</w:t>
      </w:r>
      <w:r>
        <w:rPr>
          <w:rFonts w:hint="eastAsia" w:ascii="宋体" w:hAnsi="宋体" w:eastAsia="宋体" w:cs="宋体"/>
          <w:sz w:val="24"/>
          <w:szCs w:val="24"/>
          <w:lang w:val="en-US" w:eastAsia="zh-CN"/>
        </w:rPr>
        <w:t>9.9</w:t>
      </w:r>
      <w:r>
        <w:rPr>
          <w:rFonts w:hint="eastAsia" w:ascii="宋体" w:hAnsi="宋体" w:eastAsia="宋体" w:cs="宋体"/>
          <w:sz w:val="24"/>
          <w:szCs w:val="24"/>
        </w:rPr>
        <w:t>%。</w:t>
      </w:r>
    </w:p>
    <w:p>
      <w:pPr>
        <w:spacing w:line="360" w:lineRule="auto"/>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114300" distR="114300" simplePos="0" relativeHeight="251660288" behindDoc="1" locked="0" layoutInCell="1" allowOverlap="1">
            <wp:simplePos x="0" y="0"/>
            <wp:positionH relativeFrom="column">
              <wp:posOffset>35560</wp:posOffset>
            </wp:positionH>
            <wp:positionV relativeFrom="paragraph">
              <wp:posOffset>64135</wp:posOffset>
            </wp:positionV>
            <wp:extent cx="5324475" cy="1693545"/>
            <wp:effectExtent l="4445" t="4445" r="5080" b="6985"/>
            <wp:wrapTight wrapText="bothSides">
              <wp:wrapPolygon>
                <wp:start x="-18" y="-57"/>
                <wp:lineTo x="-18" y="21568"/>
                <wp:lineTo x="21582" y="21568"/>
                <wp:lineTo x="21582" y="-57"/>
                <wp:lineTo x="-18" y="-57"/>
              </wp:wrapPolygon>
            </wp:wrapTight>
            <wp:docPr id="88474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宋体" w:hAnsi="宋体" w:eastAsia="宋体" w:cs="宋体"/>
          <w:sz w:val="24"/>
          <w:szCs w:val="24"/>
          <w:lang w:val="en-US" w:eastAsia="zh-CN"/>
        </w:rPr>
        <w:t>图2:2011-2021年全县规上工业增加值增速</w:t>
      </w:r>
      <w:r>
        <w:rPr>
          <w:rStyle w:val="10"/>
          <w:rFonts w:hint="eastAsia" w:ascii="宋体" w:hAnsi="宋体" w:eastAsia="宋体" w:cs="宋体"/>
          <w:sz w:val="24"/>
          <w:szCs w:val="24"/>
          <w:lang w:val="en-US" w:eastAsia="zh-CN"/>
        </w:rPr>
        <w:footnoteReference w:id="2"/>
      </w:r>
    </w:p>
    <w:p>
      <w:pPr>
        <w:spacing w:line="360" w:lineRule="auto"/>
        <w:ind w:firstLine="480" w:firstLineChars="200"/>
        <w:jc w:val="center"/>
        <w:rPr>
          <w:rFonts w:hint="eastAsia" w:ascii="宋体" w:hAnsi="宋体" w:eastAsia="宋体" w:cs="宋体"/>
          <w:sz w:val="24"/>
          <w:szCs w:val="24"/>
          <w:lang w:val="en-US" w:eastAsia="zh-CN"/>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43</w:t>
      </w:r>
      <w:r>
        <w:rPr>
          <w:rFonts w:hint="eastAsia" w:ascii="宋体" w:hAnsi="宋体" w:eastAsia="宋体" w:cs="宋体"/>
          <w:sz w:val="24"/>
          <w:szCs w:val="24"/>
        </w:rPr>
        <w:t>家规模以上工业企业全年实现总产值</w:t>
      </w:r>
      <w:r>
        <w:rPr>
          <w:rFonts w:hint="eastAsia" w:ascii="宋体" w:hAnsi="宋体" w:eastAsia="宋体" w:cs="宋体"/>
          <w:sz w:val="24"/>
          <w:szCs w:val="24"/>
          <w:lang w:val="en-US" w:eastAsia="zh-CN"/>
        </w:rPr>
        <w:t>534084</w:t>
      </w:r>
      <w:r>
        <w:rPr>
          <w:rFonts w:hint="eastAsia" w:ascii="宋体" w:hAnsi="宋体" w:eastAsia="宋体" w:cs="宋体"/>
          <w:sz w:val="24"/>
          <w:szCs w:val="24"/>
        </w:rPr>
        <w:t>万元，比上年增长</w:t>
      </w:r>
      <w:r>
        <w:rPr>
          <w:rFonts w:hint="eastAsia" w:ascii="宋体" w:hAnsi="宋体" w:eastAsia="宋体" w:cs="宋体"/>
          <w:sz w:val="24"/>
          <w:szCs w:val="24"/>
          <w:lang w:val="en-US" w:eastAsia="zh-CN"/>
        </w:rPr>
        <w:t>9.8</w:t>
      </w:r>
      <w:r>
        <w:rPr>
          <w:rFonts w:hint="eastAsia" w:ascii="宋体" w:hAnsi="宋体" w:eastAsia="宋体" w:cs="宋体"/>
          <w:sz w:val="24"/>
          <w:szCs w:val="24"/>
        </w:rPr>
        <w:t>%。分行业看，风电企业实现产值</w:t>
      </w:r>
      <w:r>
        <w:rPr>
          <w:rFonts w:hint="eastAsia" w:ascii="宋体" w:hAnsi="宋体" w:eastAsia="宋体" w:cs="宋体"/>
          <w:sz w:val="24"/>
          <w:szCs w:val="24"/>
          <w:lang w:val="en-US" w:eastAsia="zh-CN"/>
        </w:rPr>
        <w:t>404963万</w:t>
      </w:r>
      <w:r>
        <w:rPr>
          <w:rFonts w:hint="eastAsia" w:ascii="宋体" w:hAnsi="宋体" w:eastAsia="宋体" w:cs="宋体"/>
          <w:sz w:val="24"/>
          <w:szCs w:val="24"/>
        </w:rPr>
        <w:t>元，增长</w:t>
      </w:r>
      <w:r>
        <w:rPr>
          <w:rFonts w:hint="eastAsia" w:ascii="宋体" w:hAnsi="宋体" w:eastAsia="宋体" w:cs="宋体"/>
          <w:sz w:val="24"/>
          <w:szCs w:val="24"/>
          <w:lang w:val="en-US" w:eastAsia="zh-CN"/>
        </w:rPr>
        <w:t>1</w:t>
      </w:r>
      <w:r>
        <w:rPr>
          <w:rFonts w:hint="eastAsia" w:ascii="宋体" w:hAnsi="宋体" w:eastAsia="宋体" w:cs="宋体"/>
          <w:sz w:val="24"/>
          <w:szCs w:val="24"/>
        </w:rPr>
        <w:t>8.</w:t>
      </w:r>
      <w:r>
        <w:rPr>
          <w:rFonts w:hint="eastAsia" w:ascii="宋体" w:hAnsi="宋体" w:eastAsia="宋体" w:cs="宋体"/>
          <w:sz w:val="24"/>
          <w:szCs w:val="24"/>
          <w:lang w:val="en-US" w:eastAsia="zh-CN"/>
        </w:rPr>
        <w:t>1</w:t>
      </w:r>
      <w:r>
        <w:rPr>
          <w:rFonts w:hint="eastAsia" w:ascii="宋体" w:hAnsi="宋体" w:eastAsia="宋体" w:cs="宋体"/>
          <w:sz w:val="24"/>
          <w:szCs w:val="24"/>
        </w:rPr>
        <w:t>%，占比7</w:t>
      </w:r>
      <w:r>
        <w:rPr>
          <w:rFonts w:hint="eastAsia" w:ascii="宋体" w:hAnsi="宋体" w:eastAsia="宋体" w:cs="宋体"/>
          <w:sz w:val="24"/>
          <w:szCs w:val="24"/>
          <w:lang w:val="en-US" w:eastAsia="zh-CN"/>
        </w:rPr>
        <w:t>5.8</w:t>
      </w:r>
      <w:r>
        <w:rPr>
          <w:rFonts w:hint="eastAsia" w:ascii="宋体" w:hAnsi="宋体" w:eastAsia="宋体" w:cs="宋体"/>
          <w:sz w:val="24"/>
          <w:szCs w:val="24"/>
        </w:rPr>
        <w:t>%；食品医药企业实现产值</w:t>
      </w:r>
      <w:r>
        <w:rPr>
          <w:rFonts w:hint="eastAsia" w:ascii="宋体" w:hAnsi="宋体" w:eastAsia="宋体" w:cs="宋体"/>
          <w:sz w:val="24"/>
          <w:szCs w:val="24"/>
          <w:lang w:val="en-US" w:eastAsia="zh-CN"/>
        </w:rPr>
        <w:t>53351</w:t>
      </w:r>
      <w:r>
        <w:rPr>
          <w:rFonts w:hint="eastAsia" w:ascii="宋体" w:hAnsi="宋体" w:eastAsia="宋体" w:cs="宋体"/>
          <w:sz w:val="24"/>
          <w:szCs w:val="24"/>
        </w:rPr>
        <w:t>万元，下降1</w:t>
      </w:r>
      <w:r>
        <w:rPr>
          <w:rFonts w:hint="eastAsia" w:ascii="宋体" w:hAnsi="宋体" w:eastAsia="宋体" w:cs="宋体"/>
          <w:sz w:val="24"/>
          <w:szCs w:val="24"/>
          <w:lang w:val="en-US" w:eastAsia="zh-CN"/>
        </w:rPr>
        <w:t>4.9</w:t>
      </w:r>
      <w:r>
        <w:rPr>
          <w:rFonts w:hint="eastAsia" w:ascii="宋体" w:hAnsi="宋体" w:eastAsia="宋体" w:cs="宋体"/>
          <w:sz w:val="24"/>
          <w:szCs w:val="24"/>
        </w:rPr>
        <w:t>%，占比1</w:t>
      </w:r>
      <w:r>
        <w:rPr>
          <w:rFonts w:hint="eastAsia" w:ascii="宋体" w:hAnsi="宋体" w:eastAsia="宋体" w:cs="宋体"/>
          <w:sz w:val="24"/>
          <w:szCs w:val="24"/>
          <w:lang w:val="en-US" w:eastAsia="zh-CN"/>
        </w:rPr>
        <w:t>0</w:t>
      </w:r>
      <w:r>
        <w:rPr>
          <w:rFonts w:hint="eastAsia" w:ascii="宋体" w:hAnsi="宋体" w:eastAsia="宋体" w:cs="宋体"/>
          <w:sz w:val="24"/>
          <w:szCs w:val="24"/>
        </w:rPr>
        <w:t>%；土砂石开采企业实现产值</w:t>
      </w:r>
      <w:r>
        <w:rPr>
          <w:rFonts w:hint="eastAsia" w:ascii="宋体" w:hAnsi="宋体" w:eastAsia="宋体" w:cs="宋体"/>
          <w:sz w:val="24"/>
          <w:szCs w:val="24"/>
          <w:lang w:val="en-US" w:eastAsia="zh-CN"/>
        </w:rPr>
        <w:t>36709</w:t>
      </w:r>
      <w:r>
        <w:rPr>
          <w:rFonts w:hint="eastAsia" w:ascii="宋体" w:hAnsi="宋体" w:eastAsia="宋体" w:cs="宋体"/>
          <w:sz w:val="24"/>
          <w:szCs w:val="24"/>
        </w:rPr>
        <w:t>万元，</w:t>
      </w:r>
      <w:r>
        <w:rPr>
          <w:rFonts w:hint="eastAsia" w:ascii="宋体" w:hAnsi="宋体" w:eastAsia="宋体" w:cs="宋体"/>
          <w:sz w:val="24"/>
          <w:szCs w:val="24"/>
          <w:lang w:val="en-US" w:eastAsia="zh-CN"/>
        </w:rPr>
        <w:t>下降2.8</w:t>
      </w:r>
      <w:r>
        <w:rPr>
          <w:rFonts w:hint="eastAsia" w:ascii="宋体" w:hAnsi="宋体" w:eastAsia="宋体" w:cs="宋体"/>
          <w:sz w:val="24"/>
          <w:szCs w:val="24"/>
        </w:rPr>
        <w:t>%，占比</w:t>
      </w:r>
      <w:r>
        <w:rPr>
          <w:rFonts w:hint="eastAsia" w:ascii="宋体" w:hAnsi="宋体" w:eastAsia="宋体" w:cs="宋体"/>
          <w:sz w:val="24"/>
          <w:szCs w:val="24"/>
          <w:lang w:val="en-US" w:eastAsia="zh-CN"/>
        </w:rPr>
        <w:t>6.9</w:t>
      </w:r>
      <w:r>
        <w:rPr>
          <w:rFonts w:hint="eastAsia" w:ascii="宋体" w:hAnsi="宋体" w:eastAsia="宋体" w:cs="宋体"/>
          <w:sz w:val="24"/>
          <w:szCs w:val="24"/>
        </w:rPr>
        <w:t>%；新型建材企业实现产值</w:t>
      </w:r>
      <w:r>
        <w:rPr>
          <w:rFonts w:hint="eastAsia" w:ascii="宋体" w:hAnsi="宋体" w:eastAsia="宋体" w:cs="宋体"/>
          <w:sz w:val="24"/>
          <w:szCs w:val="24"/>
          <w:lang w:val="en-US" w:eastAsia="zh-CN"/>
        </w:rPr>
        <w:t>25460</w:t>
      </w:r>
      <w:r>
        <w:rPr>
          <w:rFonts w:hint="eastAsia" w:ascii="宋体" w:hAnsi="宋体" w:eastAsia="宋体" w:cs="宋体"/>
          <w:sz w:val="24"/>
          <w:szCs w:val="24"/>
        </w:rPr>
        <w:t>万元，</w:t>
      </w:r>
      <w:r>
        <w:rPr>
          <w:rFonts w:hint="eastAsia" w:ascii="宋体" w:hAnsi="宋体" w:eastAsia="宋体" w:cs="宋体"/>
          <w:sz w:val="24"/>
          <w:szCs w:val="24"/>
          <w:lang w:val="en-US" w:eastAsia="zh-CN"/>
        </w:rPr>
        <w:t>下降13.9</w:t>
      </w:r>
      <w:r>
        <w:rPr>
          <w:rFonts w:hint="eastAsia" w:ascii="宋体" w:hAnsi="宋体" w:eastAsia="宋体" w:cs="宋体"/>
          <w:sz w:val="24"/>
          <w:szCs w:val="24"/>
        </w:rPr>
        <w:t>%，占比</w:t>
      </w:r>
      <w:r>
        <w:rPr>
          <w:rFonts w:hint="eastAsia" w:ascii="宋体" w:hAnsi="宋体" w:eastAsia="宋体" w:cs="宋体"/>
          <w:sz w:val="24"/>
          <w:szCs w:val="24"/>
          <w:lang w:val="en-US" w:eastAsia="zh-CN"/>
        </w:rPr>
        <w:t>4.8</w:t>
      </w:r>
      <w:r>
        <w:rPr>
          <w:rFonts w:hint="eastAsia" w:ascii="宋体" w:hAnsi="宋体" w:eastAsia="宋体" w:cs="宋体"/>
          <w:sz w:val="24"/>
          <w:szCs w:val="24"/>
        </w:rPr>
        <w:t>%；其他企业实现产值13</w:t>
      </w:r>
      <w:r>
        <w:rPr>
          <w:rFonts w:hint="eastAsia" w:ascii="宋体" w:hAnsi="宋体" w:eastAsia="宋体" w:cs="宋体"/>
          <w:sz w:val="24"/>
          <w:szCs w:val="24"/>
          <w:lang w:val="en-US" w:eastAsia="zh-CN"/>
        </w:rPr>
        <w:t>601</w:t>
      </w:r>
      <w:r>
        <w:rPr>
          <w:rFonts w:hint="eastAsia" w:ascii="宋体" w:hAnsi="宋体" w:eastAsia="宋体" w:cs="宋体"/>
          <w:sz w:val="24"/>
          <w:szCs w:val="24"/>
        </w:rPr>
        <w:t>万元，</w:t>
      </w:r>
      <w:r>
        <w:rPr>
          <w:rFonts w:hint="eastAsia" w:ascii="宋体" w:hAnsi="宋体" w:eastAsia="宋体" w:cs="宋体"/>
          <w:sz w:val="24"/>
          <w:szCs w:val="24"/>
          <w:lang w:val="en-US" w:eastAsia="zh-CN"/>
        </w:rPr>
        <w:t>下降0</w:t>
      </w:r>
      <w:r>
        <w:rPr>
          <w:rFonts w:hint="eastAsia" w:ascii="宋体" w:hAnsi="宋体" w:eastAsia="宋体" w:cs="宋体"/>
          <w:sz w:val="24"/>
          <w:szCs w:val="24"/>
        </w:rPr>
        <w:t>.3%，占比</w:t>
      </w:r>
      <w:r>
        <w:rPr>
          <w:rFonts w:hint="eastAsia" w:ascii="宋体" w:hAnsi="宋体" w:eastAsia="宋体" w:cs="宋体"/>
          <w:sz w:val="24"/>
          <w:szCs w:val="24"/>
          <w:lang w:val="en-US" w:eastAsia="zh-CN"/>
        </w:rPr>
        <w:t>2.5</w:t>
      </w:r>
      <w:r>
        <w:rPr>
          <w:rFonts w:hint="eastAsia" w:ascii="宋体" w:hAnsi="宋体" w:eastAsia="宋体" w:cs="宋体"/>
          <w:sz w:val="24"/>
          <w:szCs w:val="24"/>
        </w:rPr>
        <w:t>%。 规模以上工业企业实现营业收入</w:t>
      </w:r>
      <w:r>
        <w:rPr>
          <w:rFonts w:hint="eastAsia" w:ascii="宋体" w:hAnsi="宋体" w:eastAsia="宋体" w:cs="宋体"/>
          <w:sz w:val="24"/>
          <w:szCs w:val="24"/>
          <w:lang w:val="en-US" w:eastAsia="zh-CN"/>
        </w:rPr>
        <w:t>525920</w:t>
      </w:r>
      <w:r>
        <w:rPr>
          <w:rFonts w:hint="eastAsia" w:ascii="宋体" w:hAnsi="宋体" w:eastAsia="宋体" w:cs="宋体"/>
          <w:sz w:val="24"/>
          <w:szCs w:val="24"/>
        </w:rPr>
        <w:t>万元，增长1</w:t>
      </w:r>
      <w:r>
        <w:rPr>
          <w:rFonts w:hint="eastAsia" w:ascii="宋体" w:hAnsi="宋体" w:eastAsia="宋体" w:cs="宋体"/>
          <w:sz w:val="24"/>
          <w:szCs w:val="24"/>
          <w:lang w:val="en-US" w:eastAsia="zh-CN"/>
        </w:rPr>
        <w:t>5.3</w:t>
      </w:r>
      <w:r>
        <w:rPr>
          <w:rFonts w:hint="eastAsia" w:ascii="宋体" w:hAnsi="宋体" w:eastAsia="宋体" w:cs="宋体"/>
          <w:sz w:val="24"/>
          <w:szCs w:val="24"/>
        </w:rPr>
        <w:t>%；实现利税</w:t>
      </w:r>
      <w:r>
        <w:rPr>
          <w:rFonts w:hint="eastAsia" w:ascii="宋体" w:hAnsi="宋体" w:eastAsia="宋体" w:cs="宋体"/>
          <w:sz w:val="24"/>
          <w:szCs w:val="24"/>
          <w:lang w:val="en-US" w:eastAsia="zh-CN"/>
        </w:rPr>
        <w:t>159001</w:t>
      </w:r>
      <w:r>
        <w:rPr>
          <w:rFonts w:hint="eastAsia" w:ascii="宋体" w:hAnsi="宋体" w:eastAsia="宋体" w:cs="宋体"/>
          <w:sz w:val="24"/>
          <w:szCs w:val="24"/>
        </w:rPr>
        <w:t>万元，增长</w:t>
      </w:r>
      <w:r>
        <w:rPr>
          <w:rFonts w:hint="eastAsia" w:ascii="宋体" w:hAnsi="宋体" w:eastAsia="宋体" w:cs="宋体"/>
          <w:sz w:val="24"/>
          <w:szCs w:val="24"/>
          <w:lang w:val="en-US" w:eastAsia="zh-CN"/>
        </w:rPr>
        <w:t>4.7</w:t>
      </w:r>
      <w:r>
        <w:rPr>
          <w:rFonts w:hint="eastAsia" w:ascii="宋体" w:hAnsi="宋体" w:eastAsia="宋体" w:cs="宋体"/>
          <w:sz w:val="24"/>
          <w:szCs w:val="24"/>
        </w:rPr>
        <w:t>%，其中利润总额</w:t>
      </w:r>
      <w:r>
        <w:rPr>
          <w:rFonts w:hint="eastAsia" w:ascii="宋体" w:hAnsi="宋体" w:eastAsia="宋体" w:cs="宋体"/>
          <w:sz w:val="24"/>
          <w:szCs w:val="24"/>
          <w:lang w:val="en-US" w:eastAsia="zh-CN"/>
        </w:rPr>
        <w:t>115215</w:t>
      </w:r>
      <w:r>
        <w:rPr>
          <w:rFonts w:hint="eastAsia" w:ascii="宋体" w:hAnsi="宋体" w:eastAsia="宋体" w:cs="宋体"/>
          <w:sz w:val="24"/>
          <w:szCs w:val="24"/>
        </w:rPr>
        <w:t>万元，增长</w:t>
      </w:r>
      <w:r>
        <w:rPr>
          <w:rFonts w:hint="eastAsia" w:ascii="宋体" w:hAnsi="宋体" w:eastAsia="宋体" w:cs="宋体"/>
          <w:sz w:val="24"/>
          <w:szCs w:val="24"/>
          <w:lang w:val="en-US" w:eastAsia="zh-CN"/>
        </w:rPr>
        <w:t>1.3</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全年</w:t>
      </w:r>
      <w:r>
        <w:rPr>
          <w:rFonts w:hint="eastAsia" w:ascii="宋体" w:hAnsi="宋体" w:eastAsia="宋体" w:cs="宋体"/>
          <w:sz w:val="24"/>
          <w:szCs w:val="24"/>
          <w:lang w:val="en-US" w:eastAsia="zh-CN"/>
        </w:rPr>
        <w:t>实现</w:t>
      </w:r>
      <w:r>
        <w:rPr>
          <w:rFonts w:hint="eastAsia" w:ascii="宋体" w:hAnsi="宋体" w:eastAsia="宋体" w:cs="宋体"/>
          <w:sz w:val="24"/>
          <w:szCs w:val="24"/>
        </w:rPr>
        <w:t>建筑业总产值17</w:t>
      </w:r>
      <w:r>
        <w:rPr>
          <w:rFonts w:hint="eastAsia" w:ascii="宋体" w:hAnsi="宋体" w:eastAsia="宋体" w:cs="宋体"/>
          <w:sz w:val="24"/>
          <w:szCs w:val="24"/>
          <w:lang w:val="en-US" w:eastAsia="zh-CN"/>
        </w:rPr>
        <w:t>3000</w:t>
      </w:r>
      <w:r>
        <w:rPr>
          <w:rFonts w:hint="eastAsia" w:ascii="宋体" w:hAnsi="宋体" w:eastAsia="宋体" w:cs="宋体"/>
          <w:sz w:val="24"/>
          <w:szCs w:val="24"/>
        </w:rPr>
        <w:t>万元,比上年增长</w:t>
      </w:r>
      <w:r>
        <w:rPr>
          <w:rFonts w:hint="eastAsia" w:ascii="宋体" w:hAnsi="宋体" w:eastAsia="宋体" w:cs="宋体"/>
          <w:sz w:val="24"/>
          <w:szCs w:val="24"/>
          <w:lang w:val="en-US" w:eastAsia="zh-CN"/>
        </w:rPr>
        <w:t>0.6</w:t>
      </w:r>
      <w:r>
        <w:rPr>
          <w:rFonts w:hint="eastAsia" w:ascii="宋体" w:hAnsi="宋体" w:eastAsia="宋体" w:cs="宋体"/>
          <w:sz w:val="24"/>
          <w:szCs w:val="24"/>
        </w:rPr>
        <w:t>%，实现增加值1</w:t>
      </w:r>
      <w:r>
        <w:rPr>
          <w:rFonts w:hint="eastAsia" w:ascii="宋体" w:hAnsi="宋体" w:eastAsia="宋体" w:cs="宋体"/>
          <w:sz w:val="24"/>
          <w:szCs w:val="24"/>
          <w:lang w:val="en-US" w:eastAsia="zh-CN"/>
        </w:rPr>
        <w:t>09896</w:t>
      </w:r>
      <w:r>
        <w:rPr>
          <w:rFonts w:hint="eastAsia" w:ascii="宋体" w:hAnsi="宋体" w:eastAsia="宋体" w:cs="宋体"/>
          <w:sz w:val="24"/>
          <w:szCs w:val="24"/>
        </w:rPr>
        <w:t>万元，</w:t>
      </w:r>
      <w:r>
        <w:rPr>
          <w:rFonts w:hint="eastAsia" w:ascii="宋体" w:hAnsi="宋体" w:eastAsia="宋体" w:cs="宋体"/>
          <w:sz w:val="24"/>
          <w:szCs w:val="24"/>
          <w:lang w:val="en-US" w:eastAsia="zh-CN"/>
        </w:rPr>
        <w:t>下降5.9</w:t>
      </w:r>
      <w:r>
        <w:rPr>
          <w:rFonts w:hint="eastAsia" w:ascii="宋体" w:hAnsi="宋体" w:eastAsia="宋体" w:cs="宋体"/>
          <w:sz w:val="24"/>
          <w:szCs w:val="24"/>
        </w:rPr>
        <w:t>%。资质以上建筑业企业</w:t>
      </w:r>
      <w:r>
        <w:rPr>
          <w:rFonts w:hint="eastAsia" w:ascii="宋体" w:hAnsi="宋体" w:eastAsia="宋体" w:cs="宋体"/>
          <w:sz w:val="24"/>
          <w:szCs w:val="24"/>
          <w:lang w:val="en-US" w:eastAsia="zh-CN"/>
        </w:rPr>
        <w:t>34</w:t>
      </w:r>
      <w:r>
        <w:rPr>
          <w:rFonts w:hint="eastAsia" w:ascii="宋体" w:hAnsi="宋体" w:eastAsia="宋体" w:cs="宋体"/>
          <w:sz w:val="24"/>
          <w:szCs w:val="24"/>
        </w:rPr>
        <w:t>个。房屋建筑施工面积2</w:t>
      </w:r>
      <w:r>
        <w:rPr>
          <w:rFonts w:hint="eastAsia" w:ascii="宋体" w:hAnsi="宋体" w:eastAsia="宋体" w:cs="宋体"/>
          <w:sz w:val="24"/>
          <w:szCs w:val="24"/>
          <w:lang w:val="en-US" w:eastAsia="zh-CN"/>
        </w:rPr>
        <w:t>46089</w:t>
      </w:r>
      <w:r>
        <w:rPr>
          <w:rFonts w:hint="eastAsia" w:ascii="宋体" w:hAnsi="宋体" w:eastAsia="宋体" w:cs="宋体"/>
          <w:sz w:val="24"/>
          <w:szCs w:val="24"/>
        </w:rPr>
        <w:t>平方米，下降1</w:t>
      </w:r>
      <w:r>
        <w:rPr>
          <w:rFonts w:hint="eastAsia" w:ascii="宋体" w:hAnsi="宋体" w:eastAsia="宋体" w:cs="宋体"/>
          <w:sz w:val="24"/>
          <w:szCs w:val="24"/>
          <w:lang w:val="en-US" w:eastAsia="zh-CN"/>
        </w:rPr>
        <w:t>1.4</w:t>
      </w:r>
      <w:r>
        <w:rPr>
          <w:rFonts w:hint="eastAsia" w:ascii="宋体" w:hAnsi="宋体" w:eastAsia="宋体" w:cs="宋体"/>
          <w:sz w:val="24"/>
          <w:szCs w:val="24"/>
        </w:rPr>
        <w:t>%。</w:t>
      </w:r>
    </w:p>
    <w:p>
      <w:pPr>
        <w:spacing w:line="360" w:lineRule="auto"/>
        <w:ind w:firstLine="600" w:firstLineChars="200"/>
        <w:outlineLvl w:val="0"/>
        <w:rPr>
          <w:rFonts w:ascii="黑体" w:hAnsi="黑体" w:eastAsia="黑体" w:cs="黑体"/>
          <w:sz w:val="30"/>
          <w:szCs w:val="30"/>
        </w:rPr>
      </w:pPr>
      <w:bookmarkStart w:id="6" w:name="_Toc26227"/>
      <w:r>
        <w:rPr>
          <w:rFonts w:hint="eastAsia" w:ascii="黑体" w:hAnsi="黑体" w:eastAsia="黑体" w:cs="黑体"/>
          <w:sz w:val="30"/>
          <w:szCs w:val="30"/>
        </w:rPr>
        <w:t>二、县域经济发展面临的挑战和问题</w:t>
      </w:r>
      <w:bookmarkEnd w:id="6"/>
    </w:p>
    <w:p>
      <w:pPr>
        <w:spacing w:line="360" w:lineRule="auto"/>
        <w:ind w:firstLine="560" w:firstLineChars="200"/>
        <w:outlineLvl w:val="1"/>
        <w:rPr>
          <w:rFonts w:hint="eastAsia" w:ascii="黑体" w:hAnsi="黑体" w:eastAsia="黑体" w:cs="黑体"/>
          <w:b w:val="0"/>
          <w:bCs w:val="0"/>
          <w:sz w:val="28"/>
          <w:szCs w:val="28"/>
        </w:rPr>
      </w:pPr>
      <w:bookmarkStart w:id="7" w:name="_Toc17301"/>
      <w:r>
        <w:rPr>
          <w:rFonts w:hint="eastAsia" w:ascii="黑体" w:hAnsi="黑体" w:eastAsia="黑体" w:cs="黑体"/>
          <w:b w:val="0"/>
          <w:bCs w:val="0"/>
          <w:sz w:val="28"/>
          <w:szCs w:val="28"/>
        </w:rPr>
        <w:t>（一）经济总量小，财政收入较低</w:t>
      </w:r>
      <w:bookmarkEnd w:id="7"/>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尽管围场县经济在近几年持续快速发展，但是其经济底子仍然薄弱，2021全年实现生产总值（GDP）191.924亿元，经济发展总体水平不高，经济总量小，发展速度不快，综合实力较弱的现状没有得到根本改变。结构性矛盾突出，农业基础薄弱，农民增收缓慢，二产比重明显偏低，工业发展不快，缺乏立县骨干企业，三产活力不强；农村居民保障能力弱，就业再就业压力较大。</w:t>
      </w:r>
    </w:p>
    <w:p>
      <w:pPr>
        <w:spacing w:line="360" w:lineRule="auto"/>
        <w:ind w:firstLine="560" w:firstLineChars="200"/>
        <w:outlineLvl w:val="1"/>
        <w:rPr>
          <w:rFonts w:hint="eastAsia" w:ascii="黑体" w:hAnsi="黑体" w:eastAsia="黑体" w:cs="黑体"/>
          <w:b w:val="0"/>
          <w:bCs w:val="0"/>
          <w:sz w:val="28"/>
          <w:szCs w:val="28"/>
        </w:rPr>
      </w:pPr>
      <w:bookmarkStart w:id="8" w:name="_Toc30749"/>
      <w:r>
        <w:rPr>
          <w:rFonts w:hint="eastAsia" w:ascii="黑体" w:hAnsi="黑体" w:eastAsia="黑体" w:cs="黑体"/>
          <w:b w:val="0"/>
          <w:bCs w:val="0"/>
          <w:sz w:val="28"/>
          <w:szCs w:val="28"/>
        </w:rPr>
        <w:t>（二）人均耕地少，气候条件差</w:t>
      </w:r>
      <w:bookmarkEnd w:id="8"/>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围场县总面积9219平方公里，辖</w:t>
      </w:r>
      <w:r>
        <w:rPr>
          <w:rFonts w:hint="eastAsia" w:ascii="宋体" w:hAnsi="宋体" w:eastAsia="宋体" w:cs="宋体"/>
          <w:sz w:val="24"/>
          <w:szCs w:val="24"/>
          <w:lang w:val="en-US" w:eastAsia="zh-CN"/>
        </w:rPr>
        <w:t>37</w:t>
      </w:r>
      <w:r>
        <w:rPr>
          <w:rFonts w:hint="eastAsia" w:ascii="宋体" w:hAnsi="宋体" w:eastAsia="宋体" w:cs="宋体"/>
          <w:sz w:val="24"/>
          <w:szCs w:val="24"/>
        </w:rPr>
        <w:t>个乡镇、</w:t>
      </w:r>
      <w:r>
        <w:rPr>
          <w:rFonts w:hint="eastAsia" w:ascii="宋体" w:hAnsi="宋体" w:eastAsia="宋体" w:cs="宋体"/>
          <w:sz w:val="24"/>
          <w:szCs w:val="24"/>
          <w:lang w:val="en-US" w:eastAsia="zh-CN"/>
        </w:rPr>
        <w:t>312</w:t>
      </w:r>
      <w:r>
        <w:rPr>
          <w:rFonts w:hint="eastAsia" w:ascii="宋体" w:hAnsi="宋体" w:eastAsia="宋体" w:cs="宋体"/>
          <w:sz w:val="24"/>
          <w:szCs w:val="24"/>
        </w:rPr>
        <w:t>个行政村，总人口约</w:t>
      </w:r>
      <w:r>
        <w:rPr>
          <w:rFonts w:hint="eastAsia" w:ascii="宋体" w:hAnsi="宋体" w:eastAsia="宋体" w:cs="宋体"/>
          <w:sz w:val="24"/>
          <w:szCs w:val="24"/>
          <w:lang w:val="en-US" w:eastAsia="zh-CN"/>
        </w:rPr>
        <w:t>50</w:t>
      </w:r>
      <w:r>
        <w:rPr>
          <w:rFonts w:hint="eastAsia" w:ascii="宋体" w:hAnsi="宋体" w:eastAsia="宋体" w:cs="宋体"/>
          <w:sz w:val="24"/>
          <w:szCs w:val="24"/>
        </w:rPr>
        <w:t>万人，是承德市人口最多、面积最大的县。全县有耕地</w:t>
      </w:r>
      <w:r>
        <w:rPr>
          <w:rFonts w:hint="eastAsia" w:ascii="宋体" w:hAnsi="宋体" w:eastAsia="宋体" w:cs="宋体"/>
          <w:sz w:val="24"/>
          <w:szCs w:val="24"/>
          <w:lang w:val="en-US" w:eastAsia="zh-CN"/>
        </w:rPr>
        <w:t>8</w:t>
      </w:r>
      <w:r>
        <w:rPr>
          <w:rFonts w:hint="eastAsia" w:ascii="宋体" w:hAnsi="宋体" w:eastAsia="宋体" w:cs="宋体"/>
          <w:sz w:val="24"/>
          <w:szCs w:val="24"/>
        </w:rPr>
        <w:t>万公顷，人均耕地仅</w:t>
      </w:r>
      <w:r>
        <w:rPr>
          <w:rFonts w:hint="eastAsia" w:ascii="宋体" w:hAnsi="宋体" w:eastAsia="宋体" w:cs="宋体"/>
          <w:sz w:val="24"/>
          <w:szCs w:val="24"/>
          <w:lang w:val="en-US" w:eastAsia="zh-CN"/>
        </w:rPr>
        <w:t>2.44</w:t>
      </w:r>
      <w:r>
        <w:rPr>
          <w:rFonts w:hint="eastAsia" w:ascii="宋体" w:hAnsi="宋体" w:eastAsia="宋体" w:cs="宋体"/>
          <w:sz w:val="24"/>
          <w:szCs w:val="24"/>
        </w:rPr>
        <w:t>亩，且多为沙地、坡耕地。土地是大多数农民最为重要甚至是唯一的经济来源。加之围场气候寒冷、无霜期短，农民主要种植玉米、马铃薯等经济价值低的农作物，且收入不稳定。近年来，围场县大力发展特色种植业、养殖业，调整产业结构，加快产业升级转型。以大力发展规模化、标准化、科技化、集约化种植业10个示范区建设为重点，发挥紧邻京津的区位优势、环境良好的生态优势、资源独特的产品优势，推进农业结构调整工作。积极打造全产业链模式，解决农业种植方面存在的问题。</w:t>
      </w:r>
    </w:p>
    <w:p>
      <w:pPr>
        <w:spacing w:line="360" w:lineRule="auto"/>
        <w:ind w:firstLine="560" w:firstLineChars="200"/>
        <w:outlineLvl w:val="1"/>
        <w:rPr>
          <w:rFonts w:hint="eastAsia" w:ascii="黑体" w:hAnsi="黑体" w:eastAsia="黑体" w:cs="黑体"/>
          <w:b w:val="0"/>
          <w:bCs w:val="0"/>
          <w:sz w:val="28"/>
          <w:szCs w:val="28"/>
        </w:rPr>
      </w:pPr>
      <w:bookmarkStart w:id="9" w:name="_Toc15978"/>
      <w:r>
        <w:rPr>
          <w:rFonts w:hint="eastAsia" w:ascii="黑体" w:hAnsi="黑体" w:eastAsia="黑体" w:cs="黑体"/>
          <w:b w:val="0"/>
          <w:bCs w:val="0"/>
          <w:sz w:val="28"/>
          <w:szCs w:val="28"/>
        </w:rPr>
        <w:t>（三）劳动力结构不合理，发展动能不足</w:t>
      </w:r>
      <w:bookmarkEnd w:id="9"/>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随着城镇化的不断发展，受限于围场自然资源、经济、气候条件的限制，农村大部分青壮年劳动力，外出务工、走向大城市，农村劳动力向城镇转移，农村人力资源下降，发展动能不足。</w:t>
      </w:r>
    </w:p>
    <w:p>
      <w:pPr>
        <w:spacing w:line="360" w:lineRule="auto"/>
        <w:ind w:firstLine="560" w:firstLineChars="200"/>
        <w:outlineLvl w:val="1"/>
        <w:rPr>
          <w:rFonts w:hint="eastAsia" w:ascii="黑体" w:hAnsi="黑体" w:eastAsia="黑体" w:cs="黑体"/>
          <w:b w:val="0"/>
          <w:bCs w:val="0"/>
          <w:sz w:val="28"/>
          <w:szCs w:val="28"/>
        </w:rPr>
      </w:pPr>
      <w:bookmarkStart w:id="10" w:name="_Toc10436"/>
      <w:r>
        <w:rPr>
          <w:rFonts w:hint="eastAsia" w:ascii="黑体" w:hAnsi="黑体" w:eastAsia="黑体" w:cs="黑体"/>
          <w:b w:val="0"/>
          <w:bCs w:val="0"/>
          <w:sz w:val="28"/>
          <w:szCs w:val="28"/>
        </w:rPr>
        <w:t>（四）产业化程度不高，产业链不完整</w:t>
      </w:r>
      <w:bookmarkEnd w:id="10"/>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县域农业产业以村集体、农村合作社等为主的农村基层组织实施，农村基层组织不具备带领农业产业升级的能力，也不具备现代化农业生产的专业技术。农业产业链涉及到种子选择、种植养殖过程管理、销售上市、深加工等多个环节。需要在生产、流通、销售等环节，有全面专业的人才管理，围绕特色农产品、高质量农业等方向，构建全面完善的产业链。</w:t>
      </w:r>
    </w:p>
    <w:p>
      <w:pPr>
        <w:spacing w:line="360" w:lineRule="auto"/>
        <w:ind w:firstLine="600" w:firstLineChars="200"/>
        <w:outlineLvl w:val="0"/>
        <w:rPr>
          <w:rFonts w:ascii="黑体" w:hAnsi="黑体" w:eastAsia="黑体" w:cs="黑体"/>
          <w:sz w:val="30"/>
          <w:szCs w:val="30"/>
        </w:rPr>
      </w:pPr>
      <w:bookmarkStart w:id="11" w:name="_Toc14118"/>
      <w:r>
        <w:rPr>
          <w:rFonts w:hint="eastAsia" w:ascii="黑体" w:hAnsi="黑体" w:eastAsia="黑体" w:cs="黑体"/>
          <w:sz w:val="30"/>
          <w:szCs w:val="30"/>
        </w:rPr>
        <w:t>三、围场县乡村振兴产业实践调研</w:t>
      </w:r>
      <w:bookmarkEnd w:id="11"/>
    </w:p>
    <w:p>
      <w:pPr>
        <w:spacing w:line="360" w:lineRule="auto"/>
        <w:ind w:firstLine="560" w:firstLineChars="200"/>
        <w:outlineLvl w:val="1"/>
        <w:rPr>
          <w:rFonts w:hint="eastAsia" w:ascii="黑体" w:hAnsi="黑体" w:eastAsia="黑体" w:cs="黑体"/>
          <w:b w:val="0"/>
          <w:bCs w:val="0"/>
          <w:sz w:val="28"/>
          <w:szCs w:val="28"/>
        </w:rPr>
      </w:pPr>
      <w:bookmarkStart w:id="12" w:name="_Toc21533"/>
      <w:r>
        <w:rPr>
          <w:rFonts w:hint="eastAsia" w:ascii="黑体" w:hAnsi="黑体" w:eastAsia="黑体" w:cs="黑体"/>
          <w:b w:val="0"/>
          <w:bCs w:val="0"/>
          <w:sz w:val="28"/>
          <w:szCs w:val="28"/>
        </w:rPr>
        <w:t>（一）乡村旅游产业，遍地开花</w:t>
      </w:r>
      <w:bookmarkEnd w:id="12"/>
    </w:p>
    <w:p>
      <w:pPr>
        <w:numPr>
          <w:ilvl w:val="0"/>
          <w:numId w:val="1"/>
        </w:numPr>
        <w:spacing w:line="360" w:lineRule="auto"/>
        <w:ind w:firstLine="607" w:firstLineChars="253"/>
        <w:outlineLvl w:val="2"/>
        <w:rPr>
          <w:rFonts w:hint="eastAsia" w:ascii="黑体" w:hAnsi="黑体" w:eastAsia="黑体" w:cs="黑体"/>
          <w:sz w:val="24"/>
          <w:szCs w:val="24"/>
        </w:rPr>
      </w:pPr>
      <w:bookmarkStart w:id="13" w:name="_Toc21396"/>
      <w:r>
        <w:rPr>
          <w:rFonts w:hint="eastAsia" w:ascii="黑体" w:hAnsi="黑体" w:eastAsia="黑体" w:cs="黑体"/>
          <w:sz w:val="24"/>
          <w:szCs w:val="24"/>
        </w:rPr>
        <w:t>塞罕坝旅游产业</w:t>
      </w:r>
      <w:bookmarkEnd w:id="13"/>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赛罕坝旅游资源主要包括塞罕坝国家森林公园、御道口草原森林风景区、红松洼自然保护区等景区。塞罕坝国家森林公园总面积140万亩，是中国最大的人工林森林公园，有“中国绿色明珠”和“华北绿宝石”之称。地处坝上高原，是滦河与辽河的发源地之一，因此被誉为河的源头、云的故乡、花的世界、林的海洋。塞罕坝有着丰富的旅游资源，经过近20年的旅游发展，塞罕坝旅游成熟发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塞罕坝旅游以“生态旅游、自然景色”为基础，以塞罕坝精神为指引，塞罕坝精神植根于塞罕坝140万亩的土地，源于成百上千名塞罕坝务林人的奉献奋斗，成长于塞罕坝日益辉煌的绿色事业之上，是几代塞罕坝人用心血、汗水和生命凝结而成。让更多的人了解，学习塞罕坝精神，发扬这种精神，把绿色经济和生态文明发展好，再接再厉，二次创业，在新征程上再建功立业。</w:t>
      </w:r>
    </w:p>
    <w:p>
      <w:pPr>
        <w:numPr>
          <w:ilvl w:val="0"/>
          <w:numId w:val="1"/>
        </w:numPr>
        <w:spacing w:line="360" w:lineRule="auto"/>
        <w:ind w:firstLine="607" w:firstLineChars="253"/>
        <w:outlineLvl w:val="2"/>
        <w:rPr>
          <w:rFonts w:hint="eastAsia" w:ascii="黑体" w:hAnsi="黑体" w:eastAsia="黑体" w:cs="黑体"/>
          <w:sz w:val="24"/>
          <w:szCs w:val="24"/>
        </w:rPr>
      </w:pPr>
      <w:bookmarkStart w:id="14" w:name="_Toc1546"/>
      <w:r>
        <w:rPr>
          <w:rFonts w:hint="eastAsia" w:ascii="黑体" w:hAnsi="黑体" w:eastAsia="黑体" w:cs="黑体"/>
          <w:sz w:val="24"/>
          <w:szCs w:val="24"/>
        </w:rPr>
        <w:t>“两亩天堂”自然营地</w:t>
      </w:r>
      <w:bookmarkEnd w:id="14"/>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两亩天堂”自然营地，位于塞罕坝脚下的道坝子乡查字上村，距离县城30公里，是清朝康熙木兰秋狝七十二围中的“僧机图围”，营地面积88亩，营地内绿草如茵，营地边溪水潺潺，簇簇柳树零星点缀其间，景色秀丽!</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50800</wp:posOffset>
            </wp:positionH>
            <wp:positionV relativeFrom="paragraph">
              <wp:posOffset>66040</wp:posOffset>
            </wp:positionV>
            <wp:extent cx="5212080" cy="3025140"/>
            <wp:effectExtent l="0" t="0" r="7620" b="3810"/>
            <wp:wrapSquare wrapText="bothSides"/>
            <wp:docPr id="2" name="图片 2" descr="微信图片_20220822102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822102253"/>
                    <pic:cNvPicPr>
                      <a:picLocks noChangeAspect="1"/>
                    </pic:cNvPicPr>
                  </pic:nvPicPr>
                  <pic:blipFill>
                    <a:blip r:embed="rId9"/>
                    <a:stretch>
                      <a:fillRect/>
                    </a:stretch>
                  </pic:blipFill>
                  <pic:spPr>
                    <a:xfrm>
                      <a:off x="0" y="0"/>
                      <a:ext cx="5212080" cy="3025140"/>
                    </a:xfrm>
                    <a:prstGeom prst="rect">
                      <a:avLst/>
                    </a:prstGeom>
                  </pic:spPr>
                </pic:pic>
              </a:graphicData>
            </a:graphic>
          </wp:anchor>
        </w:drawing>
      </w:r>
      <w:r>
        <w:rPr>
          <w:rFonts w:hint="eastAsia" w:ascii="宋体" w:hAnsi="宋体" w:eastAsia="宋体" w:cs="宋体"/>
          <w:sz w:val="24"/>
          <w:szCs w:val="24"/>
          <w:lang w:val="en-US" w:eastAsia="zh-CN"/>
        </w:rPr>
        <w:t>图3：两亩天堂自然营地</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sz w:val="24"/>
          <w:szCs w:val="24"/>
          <w:lang w:val="en-US" w:eastAsia="zh-CN"/>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两亩天堂”自然营地立足于“乡村振兴、产业先行”，是查字上村着重发展的两大产业之一，自然营地以“绿色发展”为理念，重点打造原生态的帐篷露营、户外体验、实践教学、休闲娱乐、四大维度体系，并不断推出各类团队建设方案课程，将内容运营与自然景色完美结合，通过微信视频号、抖音等线上平台进行快速传播，达到了良好的宣传效果。“两亩天堂”营地是乡村自然旅游产业的一种新探索，将自然景色、内容运营、线上传播融合为一体，运营几个月以来，在村民就业、土特产、山野菜销售等方面产生了良好的效果，综合带动了查字上村的经济发展。</w:t>
      </w:r>
    </w:p>
    <w:p>
      <w:pPr>
        <w:numPr>
          <w:ilvl w:val="0"/>
          <w:numId w:val="1"/>
        </w:numPr>
        <w:spacing w:line="360" w:lineRule="auto"/>
        <w:ind w:firstLine="607" w:firstLineChars="253"/>
        <w:outlineLvl w:val="2"/>
        <w:rPr>
          <w:rFonts w:hint="eastAsia" w:ascii="黑体" w:hAnsi="黑体" w:eastAsia="黑体" w:cs="黑体"/>
          <w:sz w:val="24"/>
          <w:szCs w:val="24"/>
        </w:rPr>
      </w:pPr>
      <w:bookmarkStart w:id="15" w:name="_Toc70"/>
      <w:r>
        <w:rPr>
          <w:rFonts w:hint="eastAsia" w:ascii="黑体" w:hAnsi="黑体" w:eastAsia="黑体" w:cs="黑体"/>
          <w:sz w:val="24"/>
          <w:szCs w:val="24"/>
        </w:rPr>
        <w:t>哈里哈镇民宿产业</w:t>
      </w:r>
      <w:bookmarkEnd w:id="15"/>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哈里哈镇地处围场满族蒙古族自治县北部，为塞罕坝旅游线路上的乡镇，哈里哈镇为推动旅游转型升级、跨越发展，把精品民宿的规划建设作为“打造新产品、发展新业态、形成新亮点”发展全域旅游的重点方向。哈里哈镇近年来发展民宿122户，日接待能力达2000人次。民宿采用自主经营的运营机制，以贴近自然为主题元素，形成独具特色的休闲旅游产业基地，并且使村容村貌得到显著改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哈里哈乡八十三号村，是省发改委确定的河北省首批特色小镇。其紧临棋塞公路旁的缘成寺，所辖门图阿鲁围是木兰七十二围之一，山高谷深，风景秀丽。目前有满族风情客栈26个，每年接待游客1300余人。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哈里哈乡扣花营村，该村以满族人口为主，民风淳朴，满族文化代代相传。以“宣传满族文化特色，弘扬民族团结”为发展理念，建有满族风情展览馆、草编产品展览馆，因靠近旅游沿线，扣花营村农家院经济模式发展较早，现已形成产业规模，带动20余户贫困户脱贫发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哈里哈乡坚持打造标准化精品民宿，以发展民宿旅游为突破口，带动村民创业增收，助力乡村振兴，促进民宿旅游发展壮大，加速旅游产业升级。</w:t>
      </w:r>
    </w:p>
    <w:p>
      <w:pPr>
        <w:spacing w:line="360" w:lineRule="auto"/>
        <w:ind w:firstLine="560" w:firstLineChars="200"/>
        <w:outlineLvl w:val="1"/>
        <w:rPr>
          <w:rFonts w:hint="eastAsia" w:ascii="黑体" w:hAnsi="黑体" w:eastAsia="黑体" w:cs="黑体"/>
          <w:b w:val="0"/>
          <w:bCs w:val="0"/>
          <w:sz w:val="28"/>
          <w:szCs w:val="28"/>
        </w:rPr>
      </w:pPr>
      <w:bookmarkStart w:id="16" w:name="_Toc12329"/>
      <w:r>
        <w:rPr>
          <w:rFonts w:hint="eastAsia" w:ascii="黑体" w:hAnsi="黑体" w:eastAsia="黑体" w:cs="黑体"/>
          <w:b w:val="0"/>
          <w:bCs w:val="0"/>
          <w:sz w:val="28"/>
          <w:szCs w:val="28"/>
        </w:rPr>
        <w:t>（二）产业转型升级新探索</w:t>
      </w:r>
      <w:bookmarkEnd w:id="16"/>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河北省承德市围场满族蒙古族自治县道坝子乡查字上村，距围场县约30公里，全村640户1934口人，21个自然营子，14个居民组，社会总面积8.5万亩，有林面积3.5万亩，耕地面积6100亩，现有脱贫享受政策310户806口人。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2336" behindDoc="0" locked="0" layoutInCell="1" allowOverlap="1">
            <wp:simplePos x="0" y="0"/>
            <wp:positionH relativeFrom="column">
              <wp:posOffset>726440</wp:posOffset>
            </wp:positionH>
            <wp:positionV relativeFrom="paragraph">
              <wp:posOffset>340360</wp:posOffset>
            </wp:positionV>
            <wp:extent cx="3758565" cy="2559685"/>
            <wp:effectExtent l="0" t="0" r="3810" b="2540"/>
            <wp:wrapTopAndBottom/>
            <wp:docPr id="3" name="图片 3" descr="甜玉米加工最新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甜玉米加工最新照片"/>
                    <pic:cNvPicPr>
                      <a:picLocks noChangeAspect="1"/>
                    </pic:cNvPicPr>
                  </pic:nvPicPr>
                  <pic:blipFill>
                    <a:blip r:embed="rId10"/>
                    <a:stretch>
                      <a:fillRect/>
                    </a:stretch>
                  </pic:blipFill>
                  <pic:spPr>
                    <a:xfrm>
                      <a:off x="0" y="0"/>
                      <a:ext cx="3758565" cy="2559685"/>
                    </a:xfrm>
                    <a:prstGeom prst="rect">
                      <a:avLst/>
                    </a:prstGeom>
                  </pic:spPr>
                </pic:pic>
              </a:graphicData>
            </a:graphic>
          </wp:anchor>
        </w:drawing>
      </w:r>
    </w:p>
    <w:p>
      <w:pPr>
        <w:spacing w:line="360" w:lineRule="auto"/>
        <w:ind w:firstLine="480" w:firstLineChars="20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图4：查字上村甜玉米加工厂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查字上村集体经济目前为两个方面，第一是公益林补助；第二是50亩栽植金莲花收入。2022年乡村振兴工作开展以来，查字上村级积极谋划集体产业，希望以产业增加集体收入带动村民增产增收。巩固脱贫攻坚工作取得的成果。经过乡村两级政府充分地市场调研，决定投建年产</w:t>
      </w:r>
      <w:r>
        <w:rPr>
          <w:rFonts w:hint="eastAsia" w:ascii="宋体" w:hAnsi="宋体" w:eastAsia="宋体" w:cs="宋体"/>
          <w:sz w:val="24"/>
          <w:szCs w:val="24"/>
          <w:lang w:val="en-US" w:eastAsia="zh-CN"/>
        </w:rPr>
        <w:t>1</w:t>
      </w:r>
      <w:r>
        <w:rPr>
          <w:rFonts w:hint="eastAsia" w:ascii="宋体" w:hAnsi="宋体" w:eastAsia="宋体" w:cs="宋体"/>
          <w:sz w:val="24"/>
          <w:szCs w:val="24"/>
        </w:rPr>
        <w:t>00万穗甜玉米的深加工生产工厂一座，计划配套时产7000穗甜玉米的加工生产线一条。查字上村通过本地用工、发展订单农业等方式增加村集体收入及村民收入。项目投产后可增加直接就业岗位80个，带动村民种植甜玉米生产1000亩。</w:t>
      </w:r>
      <w:r>
        <w:rPr>
          <w:rFonts w:hint="eastAsia" w:ascii="宋体" w:hAnsi="宋体" w:eastAsia="宋体" w:cs="宋体"/>
          <w:sz w:val="24"/>
          <w:szCs w:val="24"/>
          <w:lang w:val="en-US" w:eastAsia="zh-CN"/>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甜玉米加工厂项目作为查字上村产业转型升级的一次探索实践，希望通过加工厂建设，带动查字上村乃至全县，发展甜玉米绿色种植基地、青贮饲料加工、甜玉米商品加工等全产业链发展，打造甜玉米品牌，线上线下同步销售，将优质甜玉米推向全国。</w:t>
      </w:r>
    </w:p>
    <w:p>
      <w:pPr>
        <w:spacing w:line="360" w:lineRule="auto"/>
        <w:ind w:firstLine="600" w:firstLineChars="200"/>
        <w:outlineLvl w:val="0"/>
        <w:rPr>
          <w:rFonts w:ascii="黑体" w:hAnsi="黑体" w:eastAsia="黑体" w:cs="黑体"/>
          <w:sz w:val="30"/>
          <w:szCs w:val="30"/>
        </w:rPr>
      </w:pPr>
      <w:bookmarkStart w:id="17" w:name="_Toc2670"/>
      <w:r>
        <w:rPr>
          <w:rFonts w:hint="eastAsia" w:ascii="黑体" w:hAnsi="黑体" w:eastAsia="黑体" w:cs="黑体"/>
          <w:sz w:val="30"/>
          <w:szCs w:val="30"/>
        </w:rPr>
        <w:t>四、国都证券助力乡村振兴的实践建议</w:t>
      </w:r>
      <w:bookmarkEnd w:id="17"/>
    </w:p>
    <w:p>
      <w:pPr>
        <w:spacing w:line="360" w:lineRule="auto"/>
        <w:ind w:firstLine="560" w:firstLineChars="200"/>
        <w:outlineLvl w:val="1"/>
        <w:rPr>
          <w:rFonts w:hint="eastAsia" w:ascii="黑体" w:hAnsi="黑体" w:eastAsia="黑体" w:cs="黑体"/>
          <w:b w:val="0"/>
          <w:bCs w:val="0"/>
          <w:sz w:val="28"/>
          <w:szCs w:val="28"/>
        </w:rPr>
      </w:pPr>
      <w:bookmarkStart w:id="18" w:name="_Toc11458"/>
      <w:r>
        <w:rPr>
          <w:rFonts w:hint="eastAsia" w:ascii="黑体" w:hAnsi="黑体" w:eastAsia="黑体" w:cs="黑体"/>
          <w:b w:val="0"/>
          <w:bCs w:val="0"/>
          <w:sz w:val="28"/>
          <w:szCs w:val="28"/>
        </w:rPr>
        <w:t>（一）打造绿色生态高质量发展强县</w:t>
      </w:r>
      <w:bookmarkEnd w:id="18"/>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围场是国家首批绿色能源示范县，境内绿色能源种类多，可开发量大，其中风电可开发量达659.61万千瓦，适宜建设发电场面积2400平方公里；光电可开发量达400万千瓦，全年有效日照时间在2600小时以上；水电可开发量达5.75万千瓦。围场矿产资源蕴藏丰富，以非金属矿为主，储量较大的矿种有沸石、莹石、硅砂、伊利土、珍珠岩、油母页岩、玄武岩、天然矿泉水等，其中已探明矿产36种，开发利用20种，是全国规模较大的造型材料生产基地。围场大牲畜存栏136万头，建有标准化养殖场900余家；现有市级以上产业化龙头企业53家，农业产业化经营率66.47%，是“全国绿色食品原料生产基地”“国家级现代农业示范区”“国家农产品质量安全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面对战略发展新机遇，围场大力弘扬塞罕坝精神，完整准确全面贯彻新发展理念、加强生态文明建设，推动双碳能力建设、双碳科技成果转化、生态环境交易和风光储氢清洁能源产业高质量发展，走出一条绿水青山就是金山银山的绿色发展新路径。</w:t>
      </w:r>
    </w:p>
    <w:p>
      <w:pPr>
        <w:spacing w:line="360" w:lineRule="auto"/>
        <w:ind w:firstLine="560" w:firstLineChars="200"/>
        <w:outlineLvl w:val="1"/>
        <w:rPr>
          <w:rFonts w:hint="eastAsia" w:ascii="黑体" w:hAnsi="黑体" w:eastAsia="黑体" w:cs="黑体"/>
          <w:b w:val="0"/>
          <w:bCs w:val="0"/>
          <w:sz w:val="28"/>
          <w:szCs w:val="28"/>
        </w:rPr>
      </w:pPr>
      <w:bookmarkStart w:id="19" w:name="_Toc9612"/>
      <w:r>
        <w:rPr>
          <w:rFonts w:hint="eastAsia" w:ascii="黑体" w:hAnsi="黑体" w:eastAsia="黑体" w:cs="黑体"/>
          <w:b w:val="0"/>
          <w:bCs w:val="0"/>
          <w:sz w:val="28"/>
          <w:szCs w:val="28"/>
        </w:rPr>
        <w:t>（二）以点带面，集中资源打造亮点产业</w:t>
      </w:r>
      <w:bookmarkEnd w:id="19"/>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整合县内优势资源，做好产业规划，以点带面，集中资源打造亮点产业，壮大县域经济实力。借助塞罕坝旅游资源、围场山水资源，打造周边农家院、户外露营等特色旅游项目。近几年，受疫情影响，长途旅行受限，旅游以本地化为中心，本地游、周边游、自驾游等成为主要趋势，户外露营、亲子游玩项目受到市场青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借助旅游市场变化带来的契机，政府部门从顶层设计，把握乡村旅游脉搏，塑造品牌、开发具有区域特色乡村旅游品牌、打造精品亮点产业。</w:t>
      </w:r>
    </w:p>
    <w:p>
      <w:pPr>
        <w:spacing w:line="360" w:lineRule="auto"/>
        <w:ind w:firstLine="560" w:firstLineChars="200"/>
        <w:outlineLvl w:val="1"/>
        <w:rPr>
          <w:rFonts w:hint="eastAsia" w:ascii="黑体" w:hAnsi="黑体" w:eastAsia="黑体" w:cs="黑体"/>
          <w:b w:val="0"/>
          <w:bCs w:val="0"/>
          <w:sz w:val="28"/>
          <w:szCs w:val="28"/>
        </w:rPr>
      </w:pPr>
      <w:bookmarkStart w:id="20" w:name="_Toc585"/>
      <w:r>
        <w:rPr>
          <w:rFonts w:hint="eastAsia" w:ascii="黑体" w:hAnsi="黑体" w:eastAsia="黑体" w:cs="黑体"/>
          <w:b w:val="0"/>
          <w:bCs w:val="0"/>
          <w:sz w:val="28"/>
          <w:szCs w:val="28"/>
        </w:rPr>
        <w:t>（三）加强政府主导，规范化运作，打通融资渠道</w:t>
      </w:r>
      <w:bookmarkEnd w:id="20"/>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随着乡村振兴战略的实施，围场县域特色农产品，需要进一步整合运营，借助围场特色品牌走出去，让优质的农产品变为真正的“商品”。在此过程中，出现了县域中小微企业，管理水平低、制度不完善、资金不足等问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加强政府对特色农产品主导运营，整合全县特色农产品资源，由国企或者政府主导合作，打造有围场地域特色的主要品牌。规范化运作，完善的业务规范和管理制度，打通融资渠道，为进一步做大做强，打下坚实的基础。</w:t>
      </w:r>
    </w:p>
    <w:p>
      <w:pPr>
        <w:spacing w:line="360" w:lineRule="auto"/>
        <w:ind w:firstLine="560" w:firstLineChars="200"/>
        <w:outlineLvl w:val="1"/>
        <w:rPr>
          <w:rFonts w:hint="eastAsia" w:ascii="黑体" w:hAnsi="黑体" w:eastAsia="黑体" w:cs="黑体"/>
          <w:b w:val="0"/>
          <w:bCs w:val="0"/>
          <w:sz w:val="28"/>
          <w:szCs w:val="28"/>
        </w:rPr>
      </w:pPr>
      <w:bookmarkStart w:id="21" w:name="_Toc9073"/>
      <w:r>
        <w:rPr>
          <w:rFonts w:hint="eastAsia" w:ascii="黑体" w:hAnsi="黑体" w:eastAsia="黑体" w:cs="黑体"/>
          <w:b w:val="0"/>
          <w:bCs w:val="0"/>
          <w:sz w:val="28"/>
          <w:szCs w:val="28"/>
        </w:rPr>
        <w:t>（四）加大宣传，打造围场特色品牌</w:t>
      </w:r>
      <w:bookmarkEnd w:id="21"/>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围场满族蒙古族自治县作为塞罕坝精神的发源地，经过几代人在“黄沙遮天日，飞鸟无栖树”的荒漠沙地上艰苦奋斗、无私奉献，创造了荒原变林海的人间奇迹，铸造了“牢记使命、艰苦奋斗、绿色发展”塞罕坝精神。现在的塞罕坝被誉为“水的源头、云的故乡、花的世界、林的海洋”。围场是国家重点生态功能区、京津冀水源涵养功能区。境内拥有塞罕坝国家级森林公园、红松洼国家级自然保护区、小滦河国家级湿地公园以及御道口草原森林风景区等生态资源。围场地处内蒙古高原与冀北山地过度地带，有着丰富的风光资源，全县清洁能源总装机容量已达到402.81万千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进入新时期，围场县大力弘扬塞罕坝精神，全面贯彻新发展理念、加强生态文明建设。充分挖掘围场生态资源、风光资源，探索绿色发展新路径，推动绿色低碳发展。利用网络新媒体、打造围场绿色双碳特色品牌，进而带动围场旅游、农业特产、招商引资等全方位发展。</w:t>
      </w:r>
    </w:p>
    <w:p>
      <w:pPr>
        <w:spacing w:line="360" w:lineRule="auto"/>
        <w:ind w:firstLine="560" w:firstLineChars="200"/>
        <w:outlineLvl w:val="1"/>
        <w:rPr>
          <w:rFonts w:hint="eastAsia" w:ascii="黑体" w:hAnsi="黑体" w:eastAsia="黑体" w:cs="黑体"/>
          <w:b w:val="0"/>
          <w:bCs w:val="0"/>
          <w:sz w:val="28"/>
          <w:szCs w:val="28"/>
          <w:lang w:val="en-US" w:eastAsia="zh-CN"/>
        </w:rPr>
      </w:pPr>
      <w:bookmarkStart w:id="22" w:name="_Toc13263"/>
      <w:r>
        <w:rPr>
          <w:rFonts w:hint="eastAsia" w:ascii="黑体" w:hAnsi="黑体" w:eastAsia="黑体" w:cs="黑体"/>
          <w:b w:val="0"/>
          <w:bCs w:val="0"/>
          <w:sz w:val="28"/>
          <w:szCs w:val="28"/>
          <w:lang w:val="en-US" w:eastAsia="zh-CN"/>
        </w:rPr>
        <w:t>参考文献</w:t>
      </w:r>
      <w:bookmarkEnd w:id="22"/>
    </w:p>
    <w:p>
      <w:p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 围场满族蒙古族自治县2021年统计公报.</w:t>
      </w:r>
    </w:p>
    <w:p>
      <w:p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 围场满族蒙古族自治县</w:t>
      </w:r>
      <w:r>
        <w:rPr>
          <w:rFonts w:hint="eastAsia" w:ascii="宋体" w:hAnsi="宋体" w:eastAsia="宋体" w:cs="宋体"/>
          <w:sz w:val="24"/>
          <w:szCs w:val="24"/>
          <w:lang w:val="en-US" w:eastAsia="zh-CN"/>
        </w:rPr>
        <w:t>政府工作报告</w:t>
      </w:r>
      <w:r>
        <w:rPr>
          <w:rFonts w:hint="default" w:ascii="宋体" w:hAnsi="宋体" w:eastAsia="宋体" w:cs="宋体"/>
          <w:sz w:val="24"/>
          <w:szCs w:val="24"/>
          <w:lang w:val="en-US" w:eastAsia="zh-CN"/>
        </w:rPr>
        <w:t>.</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86"/>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6"/>
        <w:snapToGrid w:val="0"/>
        <w:rPr>
          <w:rFonts w:hint="default" w:eastAsiaTheme="minorEastAsia"/>
          <w:lang w:val="en-US" w:eastAsia="zh-CN"/>
        </w:rPr>
      </w:pPr>
      <w:r>
        <w:rPr>
          <w:rStyle w:val="10"/>
        </w:rPr>
        <w:footnoteRef/>
      </w:r>
      <w:r>
        <w:t xml:space="preserve"> </w:t>
      </w:r>
      <w:r>
        <w:rPr>
          <w:rFonts w:hint="eastAsia"/>
          <w:lang w:val="en-US" w:eastAsia="zh-CN"/>
        </w:rPr>
        <w:t>王定军 国都证券股份有限公司承德围场迎宾街证券营业部总经理、扶贫工作站负责人。长期深耕围场县，通过智慧帮扶、产业帮扶、教育帮扶、公益帮扶等多措并举的方式，助力围场乡村振兴全面发展。</w:t>
      </w:r>
    </w:p>
  </w:footnote>
  <w:footnote w:id="1">
    <w:p>
      <w:pPr>
        <w:pStyle w:val="6"/>
        <w:snapToGrid w:val="0"/>
        <w:rPr>
          <w:rFonts w:hint="default" w:eastAsiaTheme="minorEastAsia"/>
          <w:lang w:val="en-US" w:eastAsia="zh-CN"/>
        </w:rPr>
      </w:pPr>
      <w:r>
        <w:rPr>
          <w:rStyle w:val="10"/>
        </w:rPr>
        <w:footnoteRef/>
      </w:r>
      <w:r>
        <w:t xml:space="preserve"> </w:t>
      </w:r>
      <w:r>
        <w:rPr>
          <w:rFonts w:hint="eastAsia"/>
          <w:lang w:val="en-US" w:eastAsia="zh-CN"/>
        </w:rPr>
        <w:t>数据来源：围场满族蒙古族自治县2021年统计公报</w:t>
      </w:r>
    </w:p>
  </w:footnote>
  <w:footnote w:id="2">
    <w:p>
      <w:pPr>
        <w:pStyle w:val="6"/>
        <w:snapToGrid w:val="0"/>
        <w:rPr>
          <w:rFonts w:hint="default" w:eastAsiaTheme="minorEastAsia"/>
          <w:lang w:val="en-US" w:eastAsia="zh-CN"/>
        </w:rPr>
      </w:pPr>
      <w:r>
        <w:rPr>
          <w:rStyle w:val="10"/>
        </w:rPr>
        <w:footnoteRef/>
      </w:r>
      <w:r>
        <w:t xml:space="preserve"> </w:t>
      </w:r>
      <w:r>
        <w:rPr>
          <w:rFonts w:hint="eastAsia"/>
          <w:lang w:val="en-US" w:eastAsia="zh-CN"/>
        </w:rPr>
        <w:t>数据来源：围场满族蒙古族自治县2021年统计公报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3A2520"/>
    <w:multiLevelType w:val="singleLevel"/>
    <w:tmpl w:val="583A252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yYzFlOWNhMTA2ZDY5ZTQwODMzNWJlNjBlODY3MzAifQ=="/>
  </w:docVars>
  <w:rsids>
    <w:rsidRoot w:val="77FC7A79"/>
    <w:rsid w:val="0002780B"/>
    <w:rsid w:val="00042275"/>
    <w:rsid w:val="00050AB8"/>
    <w:rsid w:val="00056D4E"/>
    <w:rsid w:val="00056E20"/>
    <w:rsid w:val="00096884"/>
    <w:rsid w:val="000C1FF9"/>
    <w:rsid w:val="000C7254"/>
    <w:rsid w:val="000E71A7"/>
    <w:rsid w:val="000F29ED"/>
    <w:rsid w:val="0013359B"/>
    <w:rsid w:val="00177BB1"/>
    <w:rsid w:val="00180D99"/>
    <w:rsid w:val="001A04B0"/>
    <w:rsid w:val="00247E89"/>
    <w:rsid w:val="002506E2"/>
    <w:rsid w:val="002B0751"/>
    <w:rsid w:val="002F51D7"/>
    <w:rsid w:val="003A3ADA"/>
    <w:rsid w:val="003D23AB"/>
    <w:rsid w:val="003D7F14"/>
    <w:rsid w:val="003F5C05"/>
    <w:rsid w:val="00442BCE"/>
    <w:rsid w:val="004751B0"/>
    <w:rsid w:val="00475933"/>
    <w:rsid w:val="004C781E"/>
    <w:rsid w:val="00511F1D"/>
    <w:rsid w:val="00560642"/>
    <w:rsid w:val="005F1C84"/>
    <w:rsid w:val="00616DDE"/>
    <w:rsid w:val="00634DDE"/>
    <w:rsid w:val="00646021"/>
    <w:rsid w:val="00665325"/>
    <w:rsid w:val="00692F07"/>
    <w:rsid w:val="006B4592"/>
    <w:rsid w:val="006D2B13"/>
    <w:rsid w:val="006D7D2C"/>
    <w:rsid w:val="006F4710"/>
    <w:rsid w:val="00755D8A"/>
    <w:rsid w:val="00765666"/>
    <w:rsid w:val="00791286"/>
    <w:rsid w:val="008872D5"/>
    <w:rsid w:val="0089116A"/>
    <w:rsid w:val="0089251D"/>
    <w:rsid w:val="00955836"/>
    <w:rsid w:val="00966166"/>
    <w:rsid w:val="00997FED"/>
    <w:rsid w:val="009E1878"/>
    <w:rsid w:val="009E1E5A"/>
    <w:rsid w:val="009F3FCB"/>
    <w:rsid w:val="00A7681C"/>
    <w:rsid w:val="00A81775"/>
    <w:rsid w:val="00A926E6"/>
    <w:rsid w:val="00AA2390"/>
    <w:rsid w:val="00AF5FBC"/>
    <w:rsid w:val="00B34E89"/>
    <w:rsid w:val="00B370A6"/>
    <w:rsid w:val="00B64D2E"/>
    <w:rsid w:val="00BE58ED"/>
    <w:rsid w:val="00BF45D1"/>
    <w:rsid w:val="00C4599D"/>
    <w:rsid w:val="00C473B8"/>
    <w:rsid w:val="00C706FF"/>
    <w:rsid w:val="00C91E3E"/>
    <w:rsid w:val="00CB0DAD"/>
    <w:rsid w:val="00CC72DB"/>
    <w:rsid w:val="00D864E3"/>
    <w:rsid w:val="00D87E2D"/>
    <w:rsid w:val="00DD196A"/>
    <w:rsid w:val="00E00A95"/>
    <w:rsid w:val="00E063CB"/>
    <w:rsid w:val="00E15A6E"/>
    <w:rsid w:val="00E83AAF"/>
    <w:rsid w:val="03265180"/>
    <w:rsid w:val="08EF6C78"/>
    <w:rsid w:val="091A12E3"/>
    <w:rsid w:val="0C22541C"/>
    <w:rsid w:val="0D0B6BDD"/>
    <w:rsid w:val="0D39040C"/>
    <w:rsid w:val="12711FDC"/>
    <w:rsid w:val="135638CB"/>
    <w:rsid w:val="146B333A"/>
    <w:rsid w:val="165F24B0"/>
    <w:rsid w:val="1B430DFD"/>
    <w:rsid w:val="1D350989"/>
    <w:rsid w:val="1EED151B"/>
    <w:rsid w:val="20D66B76"/>
    <w:rsid w:val="31445CCA"/>
    <w:rsid w:val="36C70B72"/>
    <w:rsid w:val="3E9868E5"/>
    <w:rsid w:val="40E73E99"/>
    <w:rsid w:val="41967399"/>
    <w:rsid w:val="42346C6A"/>
    <w:rsid w:val="465C3AAE"/>
    <w:rsid w:val="46FA2178"/>
    <w:rsid w:val="483621C1"/>
    <w:rsid w:val="4B5D144A"/>
    <w:rsid w:val="4BE8086A"/>
    <w:rsid w:val="522D01E0"/>
    <w:rsid w:val="587331EF"/>
    <w:rsid w:val="5C2A2760"/>
    <w:rsid w:val="5EBD78BB"/>
    <w:rsid w:val="65C67A59"/>
    <w:rsid w:val="67E4386A"/>
    <w:rsid w:val="6CA16A6E"/>
    <w:rsid w:val="72D51220"/>
    <w:rsid w:val="73114275"/>
    <w:rsid w:val="75E557F1"/>
    <w:rsid w:val="76B33626"/>
    <w:rsid w:val="77FC7A79"/>
    <w:rsid w:val="7D694488"/>
    <w:rsid w:val="7F6E2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style>
  <w:style w:type="paragraph" w:styleId="6">
    <w:name w:val="footnote text"/>
    <w:basedOn w:val="1"/>
    <w:qFormat/>
    <w:uiPriority w:val="0"/>
    <w:pPr>
      <w:snapToGrid w:val="0"/>
      <w:jc w:val="left"/>
    </w:pPr>
    <w:rPr>
      <w:sz w:val="18"/>
    </w:rPr>
  </w:style>
  <w:style w:type="paragraph" w:styleId="7">
    <w:name w:val="toc 2"/>
    <w:basedOn w:val="1"/>
    <w:next w:val="1"/>
    <w:qFormat/>
    <w:uiPriority w:val="0"/>
    <w:pPr>
      <w:ind w:left="420" w:leftChars="200"/>
    </w:pPr>
  </w:style>
  <w:style w:type="character" w:styleId="10">
    <w:name w:val="footnote reference"/>
    <w:basedOn w:val="9"/>
    <w:qFormat/>
    <w:uiPriority w:val="0"/>
    <w:rPr>
      <w:vertAlign w:val="superscript"/>
    </w:rPr>
  </w:style>
  <w:style w:type="character" w:customStyle="1" w:styleId="11">
    <w:name w:val="页眉 字符"/>
    <w:basedOn w:val="9"/>
    <w:link w:val="4"/>
    <w:qFormat/>
    <w:uiPriority w:val="0"/>
    <w:rPr>
      <w:kern w:val="2"/>
      <w:sz w:val="18"/>
      <w:szCs w:val="18"/>
    </w:rPr>
  </w:style>
  <w:style w:type="character" w:customStyle="1" w:styleId="12">
    <w:name w:val="页脚 字符"/>
    <w:basedOn w:val="9"/>
    <w:link w:val="3"/>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G:\&#32508;&#21512;\2020&#24180;&#36164;&#26009;\2020&#24180;&#32479;&#35745;&#20844;&#25253;\2020&#20844;&#25253;&#20027;&#35201;&#25351;&#2663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007\Desktop\2022&#32479;&#35745;&#20844;&#25253;\2021&#20844;&#25253;&#20027;&#35201;&#25351;&#2663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200" b="1" i="0" u="none" strike="noStrike" baseline="0">
                <a:solidFill>
                  <a:srgbClr val="000000"/>
                </a:solidFill>
                <a:latin typeface="Calibri" panose="020F0502020204030204" charset="-122"/>
                <a:ea typeface="Calibri" panose="020F0502020204030204" charset="-122"/>
                <a:cs typeface="Calibri" panose="020F0502020204030204" charset="-122"/>
              </a:rPr>
              <a:t>201</a:t>
            </a:r>
            <a:r>
              <a:rPr lang="en-US" altLang="zh-CN" sz="1200" b="1" i="0" u="none" strike="noStrike" baseline="0">
                <a:solidFill>
                  <a:srgbClr val="000000"/>
                </a:solidFill>
                <a:latin typeface="Calibri" panose="020F0502020204030204" charset="-122"/>
                <a:ea typeface="Calibri" panose="020F0502020204030204" charset="-122"/>
                <a:cs typeface="Calibri" panose="020F0502020204030204" charset="-122"/>
              </a:rPr>
              <a:t>1</a:t>
            </a:r>
            <a:r>
              <a:rPr lang="zh-CN" altLang="en-US" sz="1200" b="1" i="0" u="none" strike="noStrike" baseline="0">
                <a:solidFill>
                  <a:srgbClr val="000000"/>
                </a:solidFill>
                <a:latin typeface="Calibri" panose="020F0502020204030204" charset="-122"/>
                <a:ea typeface="Calibri" panose="020F0502020204030204" charset="-122"/>
                <a:cs typeface="Calibri" panose="020F0502020204030204" charset="-122"/>
              </a:rPr>
              <a:t>-20</a:t>
            </a:r>
            <a:r>
              <a:rPr lang="en-US" altLang="zh-CN" sz="1200" b="1"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21</a:t>
            </a:r>
            <a:r>
              <a:rPr lang="zh-CN" altLang="en-US" sz="1200" b="1" i="0" u="none" strike="noStrike" baseline="0">
                <a:solidFill>
                  <a:srgbClr val="000000"/>
                </a:solidFill>
                <a:latin typeface="宋体" panose="02010600030101010101" charset="-122"/>
                <a:ea typeface="宋体" panose="02010600030101010101" charset="-122"/>
                <a:cs typeface="宋体" panose="02010600030101010101" charset="-122"/>
              </a:rPr>
              <a:t>年全县地区生产总值及增速</a:t>
            </a:r>
            <a:endPar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barChart>
        <c:barDir val="col"/>
        <c:grouping val="clustered"/>
        <c:varyColors val="0"/>
        <c:ser>
          <c:idx val="0"/>
          <c:order val="0"/>
          <c:tx>
            <c:strRef>
              <c:f>[2020公报主要指标.xls]GDP!$B$2</c:f>
              <c:strCache>
                <c:ptCount val="1"/>
                <c:pt idx="0">
                  <c:v>地区生产总值（亿元）</c:v>
                </c:pt>
              </c:strCache>
            </c:strRef>
          </c:tx>
          <c:invertIfNegative val="0"/>
          <c:dLbls>
            <c:dLbl>
              <c:idx val="0"/>
              <c:layout>
                <c:manualLayout>
                  <c:x val="0.00235404896421846"/>
                  <c:y val="0.032467532467532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2705627705627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021645021645021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235404896421846"/>
                  <c:y val="0.021645021645021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0.0162337662337662"/>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
                  <c:y val="0.021645021645021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0235404896421846"/>
                  <c:y val="0.032467532467532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[2020公报主要指标.xls]GDP!$A$3:$A$13</c:f>
              <c:strCache>
                <c:ptCount val="11"/>
                <c:pt idx="0">
                  <c:v>2011年</c:v>
                </c:pt>
                <c:pt idx="1">
                  <c:v>2012年</c:v>
                </c:pt>
                <c:pt idx="2">
                  <c:v>2013年</c:v>
                </c:pt>
                <c:pt idx="3">
                  <c:v>2014年</c:v>
                </c:pt>
                <c:pt idx="4">
                  <c:v>2015年</c:v>
                </c:pt>
                <c:pt idx="5">
                  <c:v>2016年</c:v>
                </c:pt>
                <c:pt idx="6">
                  <c:v>2017年</c:v>
                </c:pt>
                <c:pt idx="7">
                  <c:v>2018年</c:v>
                </c:pt>
                <c:pt idx="8">
                  <c:v>2019年</c:v>
                </c:pt>
                <c:pt idx="9">
                  <c:v>2020年</c:v>
                </c:pt>
                <c:pt idx="10">
                  <c:v>2021年 </c:v>
                </c:pt>
              </c:strCache>
            </c:strRef>
          </c:cat>
          <c:val>
            <c:numRef>
              <c:f>[2020公报主要指标.xls]GDP!$B$3:$B$13</c:f>
              <c:numCache>
                <c:formatCode>General</c:formatCode>
                <c:ptCount val="11"/>
                <c:pt idx="0">
                  <c:v>71.7</c:v>
                </c:pt>
                <c:pt idx="1">
                  <c:v>79.6</c:v>
                </c:pt>
                <c:pt idx="2">
                  <c:v>89.5</c:v>
                </c:pt>
                <c:pt idx="3">
                  <c:v>95</c:v>
                </c:pt>
                <c:pt idx="4">
                  <c:v>102.2</c:v>
                </c:pt>
                <c:pt idx="5">
                  <c:v>109</c:v>
                </c:pt>
                <c:pt idx="6">
                  <c:v>124.3</c:v>
                </c:pt>
                <c:pt idx="7">
                  <c:v>142.7</c:v>
                </c:pt>
                <c:pt idx="8">
                  <c:v>154.7</c:v>
                </c:pt>
                <c:pt idx="9">
                  <c:v>164.2</c:v>
                </c:pt>
                <c:pt idx="10">
                  <c:v>191.9</c:v>
                </c:pt>
              </c:numCache>
            </c:numRef>
          </c:val>
        </c:ser>
        <c:dLbls>
          <c:showLegendKey val="0"/>
          <c:showVal val="0"/>
          <c:showCatName val="0"/>
          <c:showSerName val="0"/>
          <c:showPercent val="0"/>
          <c:showBubbleSize val="0"/>
        </c:dLbls>
        <c:gapWidth val="196"/>
        <c:overlap val="-25"/>
        <c:axId val="868307933"/>
        <c:axId val="83761988"/>
      </c:barChart>
      <c:lineChart>
        <c:grouping val="standard"/>
        <c:varyColors val="0"/>
        <c:ser>
          <c:idx val="1"/>
          <c:order val="1"/>
          <c:tx>
            <c:strRef>
              <c:f>[2020公报主要指标.xls]GDP!$C$2</c:f>
              <c:strCache>
                <c:ptCount val="1"/>
                <c:pt idx="0">
                  <c:v>比上年增长（%）</c:v>
                </c:pt>
              </c:strCache>
            </c:strRef>
          </c:tx>
          <c:marker>
            <c:symbol val="square"/>
            <c:size val="5"/>
          </c:marker>
          <c:dLbls>
            <c:dLbl>
              <c:idx val="0"/>
              <c:layout>
                <c:manualLayout>
                  <c:x val="-0.00941619585687382"/>
                  <c:y val="-0.010822510822510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10822510822510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037878787878787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162337662337662"/>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0.021645021645021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
                  <c:y val="0.021645021645021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[2020公报主要指标.xls]GDP!$A$3:$A$13</c:f>
              <c:strCache>
                <c:ptCount val="11"/>
                <c:pt idx="0">
                  <c:v>2011年</c:v>
                </c:pt>
                <c:pt idx="1">
                  <c:v>2012年</c:v>
                </c:pt>
                <c:pt idx="2">
                  <c:v>2013年</c:v>
                </c:pt>
                <c:pt idx="3">
                  <c:v>2014年</c:v>
                </c:pt>
                <c:pt idx="4">
                  <c:v>2015年</c:v>
                </c:pt>
                <c:pt idx="5">
                  <c:v>2016年</c:v>
                </c:pt>
                <c:pt idx="6">
                  <c:v>2017年</c:v>
                </c:pt>
                <c:pt idx="7">
                  <c:v>2018年</c:v>
                </c:pt>
                <c:pt idx="8">
                  <c:v>2019年</c:v>
                </c:pt>
                <c:pt idx="9">
                  <c:v>2020年</c:v>
                </c:pt>
                <c:pt idx="10">
                  <c:v>2021年 </c:v>
                </c:pt>
              </c:strCache>
            </c:strRef>
          </c:cat>
          <c:val>
            <c:numRef>
              <c:f>[2020公报主要指标.xls]GDP!$C$3:$C$13</c:f>
              <c:numCache>
                <c:formatCode>General</c:formatCode>
                <c:ptCount val="11"/>
                <c:pt idx="0">
                  <c:v>12.5</c:v>
                </c:pt>
                <c:pt idx="1">
                  <c:v>11.5</c:v>
                </c:pt>
                <c:pt idx="2">
                  <c:v>10.1</c:v>
                </c:pt>
                <c:pt idx="3">
                  <c:v>6.3</c:v>
                </c:pt>
                <c:pt idx="4">
                  <c:v>7.2</c:v>
                </c:pt>
                <c:pt idx="5">
                  <c:v>7.6</c:v>
                </c:pt>
                <c:pt idx="6">
                  <c:v>8</c:v>
                </c:pt>
                <c:pt idx="7">
                  <c:v>7.1</c:v>
                </c:pt>
                <c:pt idx="8">
                  <c:v>7.2</c:v>
                </c:pt>
                <c:pt idx="9">
                  <c:v>4.2</c:v>
                </c:pt>
                <c:pt idx="10">
                  <c:v>8.4</c:v>
                </c:pt>
              </c:numCache>
            </c:numRef>
          </c:val>
          <c:smooth val="0"/>
        </c:ser>
        <c:dLbls>
          <c:showLegendKey val="0"/>
          <c:showVal val="0"/>
          <c:showCatName val="0"/>
          <c:showSerName val="0"/>
          <c:showPercent val="0"/>
          <c:showBubbleSize val="0"/>
        </c:dLbls>
        <c:marker val="1"/>
        <c:smooth val="0"/>
        <c:axId val="746426478"/>
        <c:axId val="522989495"/>
      </c:lineChart>
      <c:catAx>
        <c:axId val="868307933"/>
        <c:scaling>
          <c:orientation val="minMax"/>
        </c:scaling>
        <c:delete val="0"/>
        <c:axPos val="b"/>
        <c:majorTickMark val="none"/>
        <c:minorTickMark val="none"/>
        <c:tickLblPos val="nextTo"/>
        <c:txPr>
          <a:bodyPr rot="0" spcFirstLastPara="0" vertOverflow="ellipsis" vert="horz" wrap="square"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83761988"/>
        <c:crosses val="autoZero"/>
        <c:auto val="1"/>
        <c:lblAlgn val="ctr"/>
        <c:lblOffset val="100"/>
        <c:noMultiLvlLbl val="0"/>
      </c:catAx>
      <c:valAx>
        <c:axId val="83761988"/>
        <c:scaling>
          <c:orientation val="minMax"/>
        </c:scaling>
        <c:delete val="0"/>
        <c:axPos val="l"/>
        <c:numFmt formatCode="General" sourceLinked="1"/>
        <c:majorTickMark val="none"/>
        <c:minorTickMark val="none"/>
        <c:tickLblPos val="nextTo"/>
        <c:txPr>
          <a:bodyPr rot="0" spcFirstLastPara="0" vertOverflow="ellipsis" vert="horz" wrap="square"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868307933"/>
        <c:crosses val="autoZero"/>
        <c:crossBetween val="between"/>
      </c:valAx>
      <c:catAx>
        <c:axId val="746426478"/>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522989495"/>
        <c:crosses val="autoZero"/>
        <c:auto val="1"/>
        <c:lblAlgn val="ctr"/>
        <c:lblOffset val="100"/>
        <c:noMultiLvlLbl val="0"/>
      </c:catAx>
      <c:valAx>
        <c:axId val="522989495"/>
        <c:scaling>
          <c:orientation val="minMax"/>
        </c:scaling>
        <c:delete val="0"/>
        <c:axPos val="r"/>
        <c:numFmt formatCode="General" sourceLinked="1"/>
        <c:majorTickMark val="out"/>
        <c:minorTickMark val="none"/>
        <c:tickLblPos val="nextTo"/>
        <c:txPr>
          <a:bodyPr rot="0" spcFirstLastPara="0" vertOverflow="ellipsis" vert="horz" wrap="square"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746426478"/>
        <c:crosses val="max"/>
        <c:crossBetween val="between"/>
      </c:valAx>
    </c:plotArea>
    <c:legend>
      <c:legendPos val="b"/>
      <c:layout/>
      <c:overlay val="0"/>
      <c:txPr>
        <a:bodyPr rot="0" spcFirstLastPara="0" vertOverflow="ellipsis" vert="horz" wrap="square" anchor="ctr" anchorCtr="1"/>
        <a:lstStyle/>
        <a:p>
          <a:pPr>
            <a:defRPr lang="zh-CN" sz="75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200" b="1" i="0" u="none" strike="noStrike" baseline="0">
                <a:solidFill>
                  <a:srgbClr val="000000"/>
                </a:solidFill>
                <a:latin typeface="Calibri" panose="020F0502020204030204" charset="-122"/>
                <a:ea typeface="Calibri" panose="020F0502020204030204" charset="-122"/>
                <a:cs typeface="Calibri" panose="020F0502020204030204" charset="-122"/>
              </a:rPr>
              <a:t>201</a:t>
            </a:r>
            <a:r>
              <a:rPr lang="en-US" altLang="zh-CN" sz="1200" b="1" i="0" u="none" strike="noStrike" baseline="0">
                <a:solidFill>
                  <a:srgbClr val="000000"/>
                </a:solidFill>
                <a:latin typeface="Calibri" panose="020F0502020204030204" charset="-122"/>
                <a:ea typeface="Calibri" panose="020F0502020204030204" charset="-122"/>
                <a:cs typeface="Calibri" panose="020F0502020204030204" charset="-122"/>
              </a:rPr>
              <a:t>1</a:t>
            </a:r>
            <a:r>
              <a:rPr lang="zh-CN" altLang="en-US" sz="1200" b="1" i="0" u="none" strike="noStrike" baseline="0">
                <a:solidFill>
                  <a:srgbClr val="000000"/>
                </a:solidFill>
                <a:latin typeface="Calibri" panose="020F0502020204030204" charset="-122"/>
                <a:ea typeface="Calibri" panose="020F0502020204030204" charset="-122"/>
                <a:cs typeface="Calibri" panose="020F0502020204030204" charset="-122"/>
              </a:rPr>
              <a:t>-202</a:t>
            </a:r>
            <a:r>
              <a:rPr lang="en-US" altLang="zh-CN" sz="1200" b="1" i="0" u="none" strike="noStrike" baseline="0">
                <a:solidFill>
                  <a:srgbClr val="000000"/>
                </a:solidFill>
                <a:latin typeface="Calibri" panose="020F0502020204030204" charset="-122"/>
                <a:ea typeface="Calibri" panose="020F0502020204030204" charset="-122"/>
                <a:cs typeface="Calibri" panose="020F0502020204030204" charset="-122"/>
              </a:rPr>
              <a:t>1</a:t>
            </a:r>
            <a:r>
              <a:rPr lang="zh-CN" altLang="en-US" sz="1200" b="1" i="0" u="none" strike="noStrike" baseline="0">
                <a:solidFill>
                  <a:srgbClr val="000000"/>
                </a:solidFill>
                <a:latin typeface="宋体" panose="02010600030101010101" charset="-122"/>
                <a:ea typeface="宋体" panose="02010600030101010101" charset="-122"/>
                <a:cs typeface="宋体" panose="02010600030101010101" charset="-122"/>
              </a:rPr>
              <a:t>年全县规上工业增加值增速</a:t>
            </a:r>
            <a:endPar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217025862068966"/>
          <c:y val="0.0766187050359712"/>
        </c:manualLayout>
      </c:layout>
      <c:overlay val="0"/>
    </c:title>
    <c:autoTitleDeleted val="0"/>
    <c:plotArea>
      <c:layout/>
      <c:lineChart>
        <c:grouping val="standard"/>
        <c:varyColors val="0"/>
        <c:ser>
          <c:idx val="0"/>
          <c:order val="0"/>
          <c:tx>
            <c:strRef>
              <c:f>[2021公报主要指标.xls]规上各年!$B$2</c:f>
              <c:strCache>
                <c:ptCount val="1"/>
                <c:pt idx="0">
                  <c:v>比上年增长%</c:v>
                </c:pt>
              </c:strCache>
            </c:strRef>
          </c:tx>
          <c:dLbls>
            <c:numFmt formatCode="General" sourceLinked="1"/>
            <c:spPr>
              <a:noFill/>
              <a:ln w="3175">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[2021公报主要指标.xls]规上各年!$A$3:$A$13</c:f>
              <c:strCache>
                <c:ptCount val="11"/>
                <c:pt idx="0">
                  <c:v>2011年</c:v>
                </c:pt>
                <c:pt idx="1">
                  <c:v>2012年</c:v>
                </c:pt>
                <c:pt idx="2">
                  <c:v>2013年</c:v>
                </c:pt>
                <c:pt idx="3">
                  <c:v>2014年</c:v>
                </c:pt>
                <c:pt idx="4">
                  <c:v>2015年</c:v>
                </c:pt>
                <c:pt idx="5">
                  <c:v>2016年</c:v>
                </c:pt>
                <c:pt idx="6">
                  <c:v>2017年</c:v>
                </c:pt>
                <c:pt idx="7">
                  <c:v>2018年</c:v>
                </c:pt>
                <c:pt idx="8">
                  <c:v>2019年</c:v>
                </c:pt>
                <c:pt idx="9">
                  <c:v>2020年</c:v>
                </c:pt>
                <c:pt idx="10">
                  <c:v>2021年</c:v>
                </c:pt>
              </c:strCache>
            </c:strRef>
          </c:cat>
          <c:val>
            <c:numRef>
              <c:f>[2021公报主要指标.xls]规上各年!$B$3:$B$13</c:f>
              <c:numCache>
                <c:formatCode>General</c:formatCode>
                <c:ptCount val="11"/>
                <c:pt idx="0">
                  <c:v>25.1</c:v>
                </c:pt>
                <c:pt idx="1">
                  <c:v>15</c:v>
                </c:pt>
                <c:pt idx="2">
                  <c:v>10.8</c:v>
                </c:pt>
                <c:pt idx="3">
                  <c:v>3.1</c:v>
                </c:pt>
                <c:pt idx="4">
                  <c:v>5.7</c:v>
                </c:pt>
                <c:pt idx="5">
                  <c:v>5.8</c:v>
                </c:pt>
                <c:pt idx="6">
                  <c:v>5.4</c:v>
                </c:pt>
                <c:pt idx="7">
                  <c:v>1.5</c:v>
                </c:pt>
                <c:pt idx="8">
                  <c:v>0.7</c:v>
                </c:pt>
                <c:pt idx="9">
                  <c:v>7.7</c:v>
                </c:pt>
                <c:pt idx="10">
                  <c:v>9.9</c:v>
                </c:pt>
              </c:numCache>
            </c:numRef>
          </c:val>
          <c:smooth val="0"/>
        </c:ser>
        <c:dLbls>
          <c:showLegendKey val="0"/>
          <c:showVal val="0"/>
          <c:showCatName val="0"/>
          <c:showSerName val="0"/>
          <c:showPercent val="0"/>
          <c:showBubbleSize val="0"/>
        </c:dLbls>
        <c:marker val="1"/>
        <c:smooth val="0"/>
        <c:axId val="421769805"/>
        <c:axId val="71962454"/>
      </c:lineChart>
      <c:catAx>
        <c:axId val="421769805"/>
        <c:scaling>
          <c:orientation val="minMax"/>
        </c:scaling>
        <c:delete val="0"/>
        <c:axPos val="b"/>
        <c:majorTickMark val="none"/>
        <c:minorTickMark val="none"/>
        <c:tickLblPos val="nextTo"/>
        <c:txPr>
          <a:bodyPr rot="0" spcFirstLastPara="0" vertOverflow="ellipsis" vert="horz" wrap="square"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71962454"/>
        <c:crosses val="autoZero"/>
        <c:auto val="1"/>
        <c:lblAlgn val="ctr"/>
        <c:lblOffset val="100"/>
        <c:noMultiLvlLbl val="0"/>
      </c:catAx>
      <c:valAx>
        <c:axId val="71962454"/>
        <c:scaling>
          <c:orientation val="minMax"/>
        </c:scaling>
        <c:delete val="0"/>
        <c:axPos val="l"/>
        <c:majorGridlines/>
        <c:numFmt formatCode="General" sourceLinked="1"/>
        <c:majorTickMark val="none"/>
        <c:minorTickMark val="none"/>
        <c:tickLblPos val="nextTo"/>
        <c:txPr>
          <a:bodyPr rot="0" spcFirstLastPara="0" vertOverflow="ellipsis" vert="horz" wrap="square"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421769805"/>
        <c:crosses val="autoZero"/>
        <c:crossBetween val="between"/>
      </c:valAx>
    </c:plotArea>
    <c:plotVisOnly val="1"/>
    <c:dispBlanksAs val="gap"/>
    <c:showDLblsOverMax val="0"/>
  </c:chart>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6480</Words>
  <Characters>7096</Characters>
  <Lines>41</Lines>
  <Paragraphs>11</Paragraphs>
  <TotalTime>3</TotalTime>
  <ScaleCrop>false</ScaleCrop>
  <LinksUpToDate>false</LinksUpToDate>
  <CharactersWithSpaces>7335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2022-07-26T01:07:00Z</dcterms:created>
  <dc:creator>Dj.wang</dc:creator>
  <cp:lastModifiedBy>Dj.wang</cp:lastModifiedBy>
  <dcterms:modified xsi:type="dcterms:W3CDTF">2022-09-01T08:14:18Z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9B17D8A0D6774CC9AAF8558A43D7260F</vt:lpwstr>
  </property>
</Properties>
</file>