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61"/>
        <w:jc w:val="center"/>
        <w:rPr>
          <w:rFonts w:hAnsi="华文中宋" w:eastAsia="华文中宋"/>
          <w:b/>
          <w:sz w:val="48"/>
          <w:szCs w:val="48"/>
        </w:rPr>
      </w:pPr>
      <w:r>
        <w:rPr>
          <w:rFonts w:hAnsi="华文中宋" w:eastAsia="华文中宋"/>
          <w:b/>
          <w:sz w:val="48"/>
          <w:szCs w:val="48"/>
        </w:rPr>
        <w:t>证券行业促进乡村振兴公益行动</w:t>
      </w:r>
    </w:p>
    <w:p>
      <w:pPr>
        <w:ind w:firstLine="961"/>
        <w:jc w:val="center"/>
        <w:rPr>
          <w:rFonts w:hAnsi="华文中宋" w:eastAsia="华文中宋"/>
          <w:b/>
          <w:sz w:val="48"/>
          <w:szCs w:val="48"/>
        </w:rPr>
      </w:pPr>
      <w:r>
        <w:rPr>
          <w:rFonts w:eastAsia="华文中宋"/>
          <w:b/>
          <w:sz w:val="48"/>
          <w:szCs w:val="48"/>
        </w:rPr>
        <w:t>20</w:t>
      </w:r>
      <w:r>
        <w:rPr>
          <w:rFonts w:hint="eastAsia" w:eastAsia="华文中宋"/>
          <w:b/>
          <w:sz w:val="48"/>
          <w:szCs w:val="48"/>
        </w:rPr>
        <w:t>22</w:t>
      </w:r>
      <w:r>
        <w:rPr>
          <w:rFonts w:hAnsi="华文中宋" w:eastAsia="华文中宋"/>
          <w:b/>
          <w:sz w:val="48"/>
          <w:szCs w:val="48"/>
        </w:rPr>
        <w:t>年</w:t>
      </w:r>
      <w:r>
        <w:rPr>
          <w:rFonts w:hint="eastAsia" w:hAnsi="华文中宋" w:eastAsia="华文中宋"/>
          <w:b/>
          <w:sz w:val="48"/>
          <w:szCs w:val="48"/>
        </w:rPr>
        <w:t>县域经济调研报告</w:t>
      </w:r>
    </w:p>
    <w:p>
      <w:pPr>
        <w:ind w:firstLine="640"/>
        <w:rPr>
          <w:rFonts w:ascii="宋体" w:hAnsi="宋体"/>
          <w:sz w:val="32"/>
        </w:rPr>
      </w:pPr>
    </w:p>
    <w:p>
      <w:pPr>
        <w:pStyle w:val="6"/>
        <w:rPr>
          <w:rFonts w:ascii="仿宋_GB2312" w:hAnsi="宋体" w:eastAsia="仿宋_GB2312"/>
          <w:sz w:val="32"/>
          <w:u w:val="single"/>
        </w:rPr>
      </w:pPr>
      <w:r>
        <w:rPr>
          <w:rFonts w:hint="eastAsia" w:ascii="仿宋_GB2312" w:hAnsi="宋体" w:eastAsia="仿宋_GB2312"/>
          <w:sz w:val="32"/>
        </w:rPr>
        <w:t xml:space="preserve">        报告名称：</w:t>
      </w:r>
      <w:r>
        <w:rPr>
          <w:rFonts w:hint="eastAsia" w:ascii="仿宋_GB2312" w:hAnsi="宋体" w:eastAsia="仿宋_GB2312"/>
          <w:spacing w:val="-4"/>
          <w:sz w:val="32"/>
          <w:u w:val="single"/>
        </w:rPr>
        <w:t>发挥证券专业优势  助力丰宁乡村振兴</w:t>
      </w:r>
    </w:p>
    <w:p>
      <w:pPr>
        <w:ind w:firstLine="480"/>
      </w:pPr>
    </w:p>
    <w:p>
      <w:pPr>
        <w:ind w:firstLine="1285" w:firstLineChars="400"/>
        <w:rPr>
          <w:rFonts w:ascii="仿宋_GB2312" w:hAnsi="宋体" w:eastAsia="仿宋_GB2312"/>
          <w:sz w:val="32"/>
          <w:u w:val="single"/>
        </w:rPr>
      </w:pPr>
      <w:r>
        <w:rPr>
          <w:rFonts w:hint="eastAsia" w:ascii="仿宋_GB2312" w:hAnsi="宋体" w:eastAsia="仿宋_GB2312"/>
          <w:b/>
          <w:sz w:val="32"/>
        </w:rPr>
        <w:t>调研县域:</w:t>
      </w:r>
      <w:r>
        <w:rPr>
          <w:rFonts w:hint="eastAsia" w:ascii="仿宋_GB2312" w:hAnsi="宋体" w:eastAsia="仿宋_GB2312"/>
          <w:b/>
          <w:sz w:val="32"/>
          <w:u w:val="single"/>
        </w:rPr>
        <w:t xml:space="preserve">     河北省丰宁满族自治县        </w:t>
      </w:r>
      <w:r>
        <w:rPr>
          <w:rFonts w:ascii="仿宋_GB2312" w:hAnsi="宋体" w:eastAsia="仿宋_GB2312"/>
          <w:sz w:val="32"/>
          <w:u w:val="single"/>
        </w:rPr>
        <w:t xml:space="preserve">          </w:t>
      </w:r>
    </w:p>
    <w:p>
      <w:pPr>
        <w:ind w:firstLine="1449" w:firstLineChars="453"/>
        <w:rPr>
          <w:rFonts w:ascii="仿宋_GB2312" w:hAnsi="宋体" w:eastAsia="仿宋_GB2312"/>
          <w:sz w:val="32"/>
          <w:u w:val="single"/>
        </w:rPr>
      </w:pPr>
    </w:p>
    <w:p>
      <w:pPr>
        <w:ind w:firstLine="1285" w:firstLineChars="400"/>
        <w:rPr>
          <w:rFonts w:ascii="仿宋_GB2312" w:hAnsi="宋体" w:eastAsia="仿宋_GB2312"/>
          <w:b/>
          <w:sz w:val="32"/>
          <w:u w:val="single"/>
        </w:rPr>
      </w:pPr>
      <w:r>
        <w:rPr>
          <w:rFonts w:hint="eastAsia" w:ascii="仿宋_GB2312" w:hAnsi="宋体" w:eastAsia="仿宋_GB2312"/>
          <w:b/>
          <w:sz w:val="32"/>
        </w:rPr>
        <w:t>牵头调研单位:</w:t>
      </w:r>
      <w:r>
        <w:rPr>
          <w:rFonts w:hint="eastAsia" w:ascii="仿宋_GB2312" w:hAnsi="宋体" w:eastAsia="仿宋_GB2312"/>
          <w:b/>
          <w:sz w:val="32"/>
          <w:u w:val="single"/>
        </w:rPr>
        <w:t xml:space="preserve"> 财达证券股份有限公司          </w:t>
      </w:r>
    </w:p>
    <w:p>
      <w:pPr>
        <w:ind w:firstLine="640"/>
        <w:rPr>
          <w:rFonts w:ascii="仿宋_GB2312" w:hAnsi="宋体" w:eastAsia="仿宋_GB2312"/>
          <w:sz w:val="32"/>
          <w:u w:val="single"/>
        </w:rPr>
      </w:pPr>
    </w:p>
    <w:p>
      <w:pPr>
        <w:ind w:firstLine="1285" w:firstLineChars="400"/>
        <w:rPr>
          <w:rFonts w:ascii="仿宋_GB2312" w:hAnsi="宋体" w:eastAsia="仿宋_GB2312"/>
          <w:b/>
          <w:sz w:val="32"/>
          <w:u w:val="single"/>
        </w:rPr>
      </w:pPr>
      <w:r>
        <w:rPr>
          <w:rFonts w:hint="eastAsia" w:ascii="仿宋_GB2312" w:hAnsi="宋体" w:eastAsia="仿宋_GB2312"/>
          <w:b/>
          <w:sz w:val="32"/>
        </w:rPr>
        <w:t xml:space="preserve">联合调研单位: </w:t>
      </w:r>
      <w:r>
        <w:rPr>
          <w:rFonts w:ascii="仿宋_GB2312" w:hAnsi="宋体" w:eastAsia="仿宋_GB2312"/>
          <w:b/>
          <w:sz w:val="32"/>
          <w:u w:val="single"/>
        </w:rPr>
        <w:t xml:space="preserve"> </w:t>
      </w:r>
      <w:r>
        <w:rPr>
          <w:rFonts w:hint="eastAsia" w:ascii="仿宋_GB2312" w:hAnsi="宋体" w:eastAsia="仿宋_GB2312"/>
          <w:b/>
          <w:sz w:val="32"/>
          <w:u w:val="single"/>
        </w:rPr>
        <w:t>无</w:t>
      </w:r>
      <w:r>
        <w:rPr>
          <w:rFonts w:ascii="仿宋_GB2312" w:hAnsi="宋体" w:eastAsia="仿宋_GB2312"/>
          <w:b/>
          <w:sz w:val="32"/>
          <w:u w:val="single"/>
        </w:rPr>
        <w:t xml:space="preserve">                  </w:t>
      </w:r>
      <w:r>
        <w:rPr>
          <w:rFonts w:hint="eastAsia" w:ascii="仿宋_GB2312" w:hAnsi="宋体" w:eastAsia="仿宋_GB2312"/>
          <w:b/>
          <w:sz w:val="32"/>
          <w:u w:val="single"/>
        </w:rPr>
        <w:t xml:space="preserve">         </w:t>
      </w:r>
    </w:p>
    <w:p>
      <w:pPr>
        <w:ind w:firstLine="1449" w:firstLineChars="453"/>
        <w:rPr>
          <w:rFonts w:ascii="仿宋_GB2312" w:hAnsi="宋体" w:eastAsia="仿宋_GB2312"/>
          <w:sz w:val="32"/>
        </w:rPr>
      </w:pPr>
    </w:p>
    <w:p>
      <w:pPr>
        <w:ind w:firstLine="1285" w:firstLineChars="400"/>
        <w:rPr>
          <w:rFonts w:ascii="仿宋_GB2312" w:hAnsi="宋体" w:eastAsia="仿宋_GB2312"/>
          <w:b/>
          <w:sz w:val="32"/>
          <w:u w:val="single"/>
        </w:rPr>
      </w:pPr>
      <w:r>
        <w:rPr>
          <w:rFonts w:hint="eastAsia" w:ascii="仿宋_GB2312" w:hAnsi="宋体" w:eastAsia="仿宋_GB2312"/>
          <w:b/>
          <w:sz w:val="32"/>
        </w:rPr>
        <w:t>调研组负责人:</w:t>
      </w:r>
      <w:r>
        <w:rPr>
          <w:rFonts w:ascii="仿宋_GB2312" w:hAnsi="宋体" w:eastAsia="仿宋_GB2312"/>
          <w:b/>
          <w:sz w:val="32"/>
        </w:rPr>
        <w:t xml:space="preserve"> </w:t>
      </w:r>
      <w:r>
        <w:rPr>
          <w:rFonts w:ascii="仿宋_GB2312" w:hAnsi="宋体" w:eastAsia="仿宋_GB2312"/>
          <w:b/>
          <w:sz w:val="32"/>
          <w:u w:val="single"/>
        </w:rPr>
        <w:t xml:space="preserve"> </w:t>
      </w:r>
      <w:r>
        <w:rPr>
          <w:rFonts w:hint="eastAsia" w:ascii="仿宋_GB2312" w:hAnsi="宋体" w:eastAsia="仿宋_GB2312"/>
          <w:b/>
          <w:sz w:val="32"/>
          <w:u w:val="single"/>
        </w:rPr>
        <w:t>陈军学</w:t>
      </w:r>
      <w:r>
        <w:rPr>
          <w:rFonts w:ascii="仿宋_GB2312" w:hAnsi="宋体" w:eastAsia="仿宋_GB2312"/>
          <w:b/>
          <w:sz w:val="32"/>
          <w:u w:val="single"/>
        </w:rPr>
        <w:t xml:space="preserve">           </w:t>
      </w:r>
      <w:r>
        <w:rPr>
          <w:rFonts w:hint="eastAsia" w:ascii="仿宋_GB2312" w:hAnsi="宋体" w:eastAsia="仿宋_GB2312"/>
          <w:b/>
          <w:sz w:val="32"/>
          <w:u w:val="single"/>
          <w:lang w:val="en-US" w:eastAsia="zh-CN"/>
        </w:rPr>
        <w:t xml:space="preserve">      </w:t>
      </w:r>
      <w:r>
        <w:rPr>
          <w:rFonts w:ascii="仿宋_GB2312" w:hAnsi="宋体" w:eastAsia="仿宋_GB2312"/>
          <w:b/>
          <w:sz w:val="32"/>
          <w:u w:val="single"/>
        </w:rPr>
        <w:t xml:space="preserve"> </w:t>
      </w:r>
      <w:r>
        <w:rPr>
          <w:rFonts w:hint="eastAsia" w:ascii="仿宋_GB2312" w:hAnsi="宋体" w:eastAsia="仿宋_GB2312"/>
          <w:b/>
          <w:sz w:val="32"/>
          <w:u w:val="single"/>
        </w:rPr>
        <w:t xml:space="preserve"> </w:t>
      </w:r>
      <w:r>
        <w:rPr>
          <w:rFonts w:ascii="仿宋_GB2312" w:hAnsi="宋体" w:eastAsia="仿宋_GB2312"/>
          <w:b/>
          <w:sz w:val="32"/>
          <w:u w:val="single"/>
        </w:rPr>
        <w:t xml:space="preserve">   </w:t>
      </w:r>
      <w:r>
        <w:rPr>
          <w:rFonts w:hint="eastAsia" w:ascii="仿宋_GB2312" w:hAnsi="宋体" w:eastAsia="仿宋_GB2312"/>
          <w:b/>
          <w:sz w:val="32"/>
          <w:u w:val="single"/>
        </w:rPr>
        <w:t xml:space="preserve"> </w:t>
      </w:r>
    </w:p>
    <w:p>
      <w:pPr>
        <w:ind w:firstLine="640"/>
        <w:rPr>
          <w:rFonts w:ascii="仿宋_GB2312" w:hAnsi="宋体" w:eastAsia="仿宋_GB2312"/>
          <w:sz w:val="32"/>
          <w:u w:val="single"/>
        </w:rPr>
      </w:pPr>
    </w:p>
    <w:p>
      <w:pPr>
        <w:ind w:firstLine="1285" w:firstLineChars="400"/>
        <w:rPr>
          <w:rFonts w:hint="eastAsia" w:ascii="仿宋_GB2312" w:hAnsi="宋体" w:eastAsia="仿宋_GB2312"/>
          <w:b/>
          <w:sz w:val="32"/>
          <w:u w:val="single"/>
        </w:rPr>
      </w:pPr>
      <w:r>
        <w:rPr>
          <w:rFonts w:hint="eastAsia" w:ascii="仿宋_GB2312" w:hAnsi="宋体" w:eastAsia="仿宋_GB2312"/>
          <w:b/>
          <w:sz w:val="32"/>
        </w:rPr>
        <w:t>调研组成员:</w:t>
      </w:r>
      <w:r>
        <w:rPr>
          <w:rFonts w:hint="eastAsia" w:ascii="仿宋_GB2312" w:hAnsi="宋体" w:eastAsia="仿宋_GB2312"/>
          <w:b/>
          <w:sz w:val="32"/>
          <w:lang w:val="en-US" w:eastAsia="zh-CN"/>
        </w:rPr>
        <w:t xml:space="preserve"> </w:t>
      </w:r>
      <w:r>
        <w:rPr>
          <w:rFonts w:hint="eastAsia" w:ascii="仿宋_GB2312" w:hAnsi="宋体" w:eastAsia="仿宋_GB2312"/>
          <w:b/>
          <w:sz w:val="32"/>
          <w:u w:val="single"/>
        </w:rPr>
        <w:t xml:space="preserve">胡恒松 </w:t>
      </w:r>
      <w:r>
        <w:rPr>
          <w:rFonts w:hint="eastAsia" w:ascii="仿宋_GB2312" w:hAnsi="宋体" w:eastAsia="仿宋_GB2312"/>
          <w:b/>
          <w:sz w:val="32"/>
          <w:u w:val="single"/>
          <w:lang w:val="en-US" w:eastAsia="zh-CN"/>
        </w:rPr>
        <w:t xml:space="preserve"> </w:t>
      </w:r>
      <w:r>
        <w:rPr>
          <w:rFonts w:hint="eastAsia" w:ascii="仿宋_GB2312" w:hAnsi="宋体" w:eastAsia="仿宋_GB2312"/>
          <w:b/>
          <w:sz w:val="32"/>
          <w:u w:val="single"/>
        </w:rPr>
        <w:t>费</w:t>
      </w:r>
      <w:r>
        <w:rPr>
          <w:rFonts w:hint="eastAsia" w:ascii="仿宋_GB2312" w:hAnsi="宋体" w:eastAsia="仿宋_GB2312"/>
          <w:b/>
          <w:sz w:val="32"/>
          <w:u w:val="single"/>
          <w:lang w:val="en-US" w:eastAsia="zh-CN"/>
        </w:rPr>
        <w:t xml:space="preserve">  </w:t>
      </w:r>
      <w:r>
        <w:rPr>
          <w:rFonts w:hint="eastAsia" w:ascii="仿宋_GB2312" w:hAnsi="宋体" w:eastAsia="仿宋_GB2312"/>
          <w:b/>
          <w:sz w:val="32"/>
          <w:u w:val="single"/>
        </w:rPr>
        <w:t xml:space="preserve">超 </w:t>
      </w:r>
      <w:r>
        <w:rPr>
          <w:rFonts w:hint="eastAsia" w:ascii="仿宋_GB2312" w:hAnsi="宋体" w:eastAsia="仿宋_GB2312"/>
          <w:b/>
          <w:sz w:val="32"/>
          <w:u w:val="single"/>
          <w:lang w:val="en-US" w:eastAsia="zh-CN"/>
        </w:rPr>
        <w:t xml:space="preserve"> </w:t>
      </w:r>
      <w:r>
        <w:rPr>
          <w:rFonts w:hint="eastAsia" w:ascii="仿宋_GB2312" w:hAnsi="宋体" w:eastAsia="仿宋_GB2312"/>
          <w:b/>
          <w:sz w:val="32"/>
          <w:u w:val="single"/>
        </w:rPr>
        <w:t xml:space="preserve">韩彦斌 </w:t>
      </w:r>
    </w:p>
    <w:p>
      <w:pPr>
        <w:ind w:firstLine="3213" w:firstLineChars="1000"/>
        <w:rPr>
          <w:rFonts w:hint="eastAsia" w:ascii="仿宋_GB2312" w:hAnsi="宋体" w:eastAsia="仿宋_GB2312"/>
          <w:b/>
          <w:sz w:val="32"/>
          <w:u w:val="single"/>
          <w:lang w:val="en-US" w:eastAsia="zh-CN"/>
        </w:rPr>
      </w:pPr>
      <w:r>
        <w:rPr>
          <w:rFonts w:hint="eastAsia" w:ascii="仿宋_GB2312" w:hAnsi="宋体" w:eastAsia="仿宋_GB2312"/>
          <w:b/>
          <w:sz w:val="32"/>
          <w:u w:val="single"/>
        </w:rPr>
        <w:t xml:space="preserve">韩家仑 </w:t>
      </w:r>
      <w:r>
        <w:rPr>
          <w:rFonts w:hint="eastAsia" w:ascii="仿宋_GB2312" w:hAnsi="宋体" w:eastAsia="仿宋_GB2312"/>
          <w:b/>
          <w:sz w:val="32"/>
          <w:u w:val="single"/>
          <w:lang w:val="en-US" w:eastAsia="zh-CN"/>
        </w:rPr>
        <w:t xml:space="preserve"> </w:t>
      </w:r>
      <w:r>
        <w:rPr>
          <w:rFonts w:hint="eastAsia" w:ascii="仿宋_GB2312" w:hAnsi="宋体" w:eastAsia="仿宋_GB2312"/>
          <w:b/>
          <w:sz w:val="32"/>
          <w:u w:val="single"/>
        </w:rPr>
        <w:t>李满新</w:t>
      </w:r>
      <w:r>
        <w:rPr>
          <w:rFonts w:hint="eastAsia" w:ascii="仿宋_GB2312" w:hAnsi="宋体" w:eastAsia="仿宋_GB2312"/>
          <w:b/>
          <w:sz w:val="32"/>
          <w:u w:val="single"/>
          <w:lang w:val="en-US" w:eastAsia="zh-CN"/>
        </w:rPr>
        <w:t xml:space="preserve">  </w:t>
      </w:r>
      <w:r>
        <w:rPr>
          <w:rFonts w:hint="eastAsia" w:ascii="仿宋_GB2312" w:hAnsi="宋体" w:eastAsia="仿宋_GB2312"/>
          <w:b/>
          <w:sz w:val="32"/>
          <w:u w:val="single"/>
          <w:lang w:eastAsia="zh-CN"/>
        </w:rPr>
        <w:t>屈</w:t>
      </w:r>
      <w:r>
        <w:rPr>
          <w:rFonts w:hint="eastAsia" w:ascii="仿宋_GB2312" w:hAnsi="宋体" w:eastAsia="仿宋_GB2312"/>
          <w:b/>
          <w:sz w:val="32"/>
          <w:u w:val="single"/>
          <w:lang w:val="en-US" w:eastAsia="zh-CN"/>
        </w:rPr>
        <w:t xml:space="preserve">  </w:t>
      </w:r>
      <w:r>
        <w:rPr>
          <w:rFonts w:hint="eastAsia" w:ascii="仿宋_GB2312" w:hAnsi="宋体" w:eastAsia="仿宋_GB2312"/>
          <w:b/>
          <w:sz w:val="32"/>
          <w:u w:val="single"/>
          <w:lang w:eastAsia="zh-CN"/>
        </w:rPr>
        <w:t>剑</w:t>
      </w:r>
      <w:r>
        <w:rPr>
          <w:rFonts w:hint="eastAsia" w:ascii="仿宋_GB2312" w:hAnsi="宋体" w:eastAsia="仿宋_GB2312"/>
          <w:b/>
          <w:sz w:val="32"/>
          <w:u w:val="single"/>
          <w:lang w:val="en-US" w:eastAsia="zh-CN"/>
        </w:rPr>
        <w:t xml:space="preserve"> </w:t>
      </w:r>
    </w:p>
    <w:p>
      <w:pPr>
        <w:spacing w:line="225" w:lineRule="atLeast"/>
        <w:ind w:firstLine="640"/>
        <w:rPr>
          <w:rFonts w:ascii="宋体" w:hAnsi="宋体"/>
          <w:sz w:val="32"/>
        </w:rPr>
      </w:pPr>
      <w:bookmarkStart w:id="0" w:name="_GoBack"/>
      <w:bookmarkEnd w:id="0"/>
    </w:p>
    <w:p>
      <w:pPr>
        <w:spacing w:line="225" w:lineRule="atLeast"/>
        <w:ind w:firstLine="640"/>
        <w:rPr>
          <w:rFonts w:ascii="宋体" w:hAnsi="宋体"/>
          <w:sz w:val="32"/>
        </w:rPr>
      </w:pPr>
    </w:p>
    <w:p>
      <w:pPr>
        <w:spacing w:line="225" w:lineRule="atLeast"/>
        <w:ind w:firstLine="640"/>
        <w:rPr>
          <w:rFonts w:ascii="宋体" w:hAnsi="宋体"/>
          <w:sz w:val="32"/>
        </w:rPr>
      </w:pPr>
    </w:p>
    <w:p>
      <w:pPr>
        <w:spacing w:line="225" w:lineRule="atLeast"/>
        <w:ind w:firstLine="643"/>
        <w:jc w:val="center"/>
        <w:rPr>
          <w:rFonts w:ascii="仿宋_GB2312" w:hAnsi="宋体" w:eastAsia="仿宋_GB2312"/>
          <w:b/>
          <w:sz w:val="32"/>
          <w:szCs w:val="32"/>
        </w:rPr>
      </w:pPr>
      <w:r>
        <w:rPr>
          <w:rFonts w:hint="eastAsia" w:ascii="仿宋_GB2312" w:eastAsia="仿宋_GB2312"/>
          <w:b/>
          <w:sz w:val="32"/>
          <w:szCs w:val="32"/>
        </w:rPr>
        <w:t>中国证券业协会</w:t>
      </w:r>
    </w:p>
    <w:p>
      <w:pPr>
        <w:spacing w:line="225" w:lineRule="atLeast"/>
        <w:ind w:firstLine="643"/>
        <w:jc w:val="center"/>
        <w:rPr>
          <w:rFonts w:ascii="仿宋_GB2312" w:eastAsia="仿宋_GB2312"/>
          <w:b/>
          <w:sz w:val="32"/>
          <w:szCs w:val="32"/>
        </w:rPr>
      </w:pPr>
      <w:r>
        <w:rPr>
          <w:rFonts w:hint="eastAsia" w:ascii="仿宋_GB2312" w:eastAsia="仿宋_GB2312"/>
          <w:b/>
          <w:sz w:val="32"/>
          <w:szCs w:val="32"/>
        </w:rPr>
        <w:t>2022年8月</w:t>
      </w:r>
    </w:p>
    <w:p>
      <w:pPr>
        <w:spacing w:line="225" w:lineRule="atLeast"/>
        <w:ind w:firstLine="643"/>
        <w:jc w:val="right"/>
        <w:rPr>
          <w:rFonts w:ascii="仿宋_GB2312" w:eastAsia="仿宋_GB2312"/>
          <w:b/>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numberInDash"/>
          <w:cols w:space="425" w:num="1"/>
          <w:docGrid w:type="lines" w:linePitch="312" w:charSpace="0"/>
        </w:sectPr>
      </w:pPr>
    </w:p>
    <w:p>
      <w:pPr>
        <w:pStyle w:val="6"/>
        <w:rPr>
          <w:rFonts w:ascii="黑体" w:hAnsi="黑体" w:eastAsia="黑体" w:cs="黑体"/>
          <w:sz w:val="32"/>
          <w:szCs w:val="32"/>
        </w:rPr>
      </w:pPr>
      <w:r>
        <w:rPr>
          <w:rFonts w:hint="eastAsia" w:ascii="黑体" w:hAnsi="黑体" w:eastAsia="黑体" w:cs="黑体"/>
          <w:sz w:val="32"/>
          <w:szCs w:val="32"/>
        </w:rPr>
        <w:t>发挥证券专业优势  助力丰宁乡村振兴</w:t>
      </w:r>
    </w:p>
    <w:p>
      <w:pPr>
        <w:ind w:firstLine="0" w:firstLineChars="0"/>
        <w:jc w:val="center"/>
        <w:rPr>
          <w:rFonts w:ascii="宋体" w:hAnsi="宋体" w:cs="宋体"/>
          <w:szCs w:val="24"/>
        </w:rPr>
      </w:pPr>
      <w:r>
        <w:rPr>
          <w:rFonts w:hint="eastAsia" w:ascii="宋体" w:hAnsi="宋体" w:cs="宋体"/>
          <w:szCs w:val="24"/>
        </w:rPr>
        <w:t>财达证券课题组</w:t>
      </w:r>
    </w:p>
    <w:p>
      <w:pPr>
        <w:ind w:firstLine="480"/>
        <w:rPr>
          <w:rFonts w:ascii="宋体" w:hAnsi="宋体" w:cs="宋体"/>
          <w:szCs w:val="24"/>
        </w:rPr>
      </w:pPr>
      <w:r>
        <w:rPr>
          <w:rFonts w:hint="eastAsia" w:ascii="宋体" w:hAnsi="宋体" w:cs="宋体"/>
          <w:szCs w:val="24"/>
        </w:rPr>
        <w:t>近年来，财达证券股份有限公司（以下简称“财达证券”）一直保持高度的政治责任感和光荣的历史使命感，持续深入学习贯彻习近平总书记关于脱贫攻坚、乡村振兴工作的系列讲话和重要批示指示精神，认真落实中国证监会及河北省委省政府、省国资委相关工作要求，积极响应中国证券业协会发起的“一司一县”结对帮扶行动倡议。多年来财达证券累计捐赠和“以购代捐”资金6,600余万元，结对帮扶丰宁满族自治县（以下简称“丰宁县”）及所属两间房、三岔口两个深度贫困村，助力丰宁县顺利“摘帽”，推动贫困地区脱贫取得显著成效。现如今，财达证券以更加昂扬的斗志，实现了脱贫攻坚向美丽乡村建设的顺利转接，向着助力乡村全面振兴的美好明天阔步前进。</w:t>
      </w:r>
    </w:p>
    <w:p>
      <w:pPr>
        <w:ind w:firstLine="480"/>
        <w:rPr>
          <w:rFonts w:ascii="宋体" w:hAnsi="宋体" w:cs="宋体"/>
          <w:szCs w:val="24"/>
        </w:rPr>
      </w:pPr>
      <w:r>
        <w:rPr>
          <w:rFonts w:hint="eastAsia" w:ascii="宋体" w:hAnsi="宋体" w:cs="宋体"/>
          <w:szCs w:val="24"/>
        </w:rPr>
        <w:t>多年的帮扶工作中，财达证券持续发挥资本中介平台作用和专业资源整合优势，结合丰宁县实际，多渠道提供全方位的综合金融服务，通过金融帮扶、产业帮扶、消费帮扶、就业帮扶、公益帮扶等形式，助力丰宁县全面打赢了脱贫攻坚决战。2018年，辅导御今农业在河北区域股权市场挂牌成功，完成了丰宁县对接资本市场零的突破；2020年以来对平安高科进行尽职调查并作为我司投行重点工作，瞄准科创板进行上市辅导，积极推介创投基金参与；对承德九龙、昌达农业等企业实地考察调研和对接，开展多层次的资本市场培训活动，重点孵化规范发展辅导整合，努力争取通过兼并收购、并购重组、招商引资等多种手段推荐其在资本市场融资；2020年为承德国控成功发行15亿元公司债券，直接节省发行成本接近1亿元；为承德银行发行25亿二级资本债，票面利率为4.6%，远低于市场同等级债券发行利率。</w:t>
      </w:r>
    </w:p>
    <w:p>
      <w:pPr>
        <w:ind w:firstLine="480"/>
        <w:rPr>
          <w:rFonts w:ascii="宋体" w:hAnsi="宋体" w:cs="宋体"/>
          <w:szCs w:val="24"/>
        </w:rPr>
      </w:pPr>
      <w:r>
        <w:rPr>
          <w:rFonts w:hint="eastAsia" w:ascii="宋体" w:hAnsi="宋体" w:cs="宋体"/>
          <w:szCs w:val="24"/>
        </w:rPr>
        <w:t>多年的帮扶工作，使财达证券对丰宁县经济发展有着较为深刻的了解和理解，为了巩固“一司一县”帮扶成果，推进丰宁县域经济高质量发展，按照中国证券业协会的统一部署，财达证券成立了专门的课题组，对丰宁县进行了实地调研，从丰宁县经济社会发展概况、丰宁县经济社会发展中存在的主要问题以及推动丰宁县经济高质量发展的对策建议等三方面进行了总结。</w:t>
      </w:r>
    </w:p>
    <w:p>
      <w:pPr>
        <w:ind w:firstLine="602"/>
        <w:rPr>
          <w:rFonts w:ascii="黑体" w:hAnsi="黑体" w:eastAsia="黑体" w:cs="黑体"/>
          <w:b/>
          <w:bCs/>
          <w:sz w:val="30"/>
          <w:szCs w:val="30"/>
        </w:rPr>
      </w:pPr>
      <w:r>
        <w:rPr>
          <w:rFonts w:hint="eastAsia" w:ascii="黑体" w:hAnsi="黑体" w:eastAsia="黑体" w:cs="黑体"/>
          <w:b/>
          <w:bCs/>
          <w:sz w:val="30"/>
          <w:szCs w:val="30"/>
        </w:rPr>
        <w:t>一、丰宁县简介及经济与社会发展概况</w:t>
      </w:r>
    </w:p>
    <w:p>
      <w:pPr>
        <w:ind w:firstLine="480"/>
        <w:rPr>
          <w:rFonts w:ascii="宋体" w:hAnsi="宋体" w:cs="宋体"/>
          <w:szCs w:val="24"/>
        </w:rPr>
      </w:pPr>
      <w:r>
        <w:rPr>
          <w:rFonts w:hint="eastAsia" w:ascii="宋体" w:hAnsi="宋体" w:cs="宋体"/>
          <w:szCs w:val="24"/>
        </w:rPr>
        <w:t>2021年丰宁县实现地区生产总值141.7亿元，比上年增长8.4%，在承德8个县域（县、县级市、自治县）经济中排第8位，在河北省168个县域经济中排名也属靠后位置。</w:t>
      </w:r>
    </w:p>
    <w:p>
      <w:pPr>
        <w:ind w:firstLine="480"/>
        <w:rPr>
          <w:rFonts w:ascii="宋体" w:hAnsi="宋体" w:cs="宋体"/>
          <w:szCs w:val="24"/>
        </w:rPr>
      </w:pPr>
      <w:r>
        <w:rPr>
          <w:rFonts w:hint="eastAsia" w:ascii="宋体" w:hAnsi="宋体" w:cs="宋体"/>
          <w:szCs w:val="24"/>
        </w:rPr>
        <w:t>2021年丰宁县三大产业增加值分别为36.4亿、45.2亿、60.1亿元，三产结构为25.7:31.9:42.4。相比较河北省10.0:40.5:49.5及承德市22.0:34.0:44.0的产业占比，丰宁县第一产业比重过大，显示其加工制造业及服务业基础薄弱。</w:t>
      </w:r>
    </w:p>
    <w:p>
      <w:pPr>
        <w:ind w:firstLine="480"/>
        <w:rPr>
          <w:rFonts w:ascii="宋体" w:hAnsi="宋体" w:cs="宋体"/>
          <w:szCs w:val="24"/>
        </w:rPr>
      </w:pPr>
      <w:r>
        <w:rPr>
          <w:rFonts w:hint="eastAsia" w:ascii="宋体" w:hAnsi="宋体" w:cs="宋体"/>
          <w:szCs w:val="24"/>
        </w:rPr>
        <w:t>2021年，丰宁县全部工业增加值30.1亿元，其中规模以上工业增加值29.2亿元，比上年同期增长10.2%。全年农、林、牧、渔业完成总产值62.7亿元，比上年增长8.23%。</w:t>
      </w:r>
    </w:p>
    <w:p>
      <w:pPr>
        <w:ind w:firstLine="480"/>
        <w:rPr>
          <w:rFonts w:ascii="宋体" w:hAnsi="宋体" w:cs="宋体"/>
          <w:szCs w:val="24"/>
        </w:rPr>
      </w:pPr>
      <w:r>
        <w:rPr>
          <w:rFonts w:hint="eastAsia" w:ascii="宋体" w:hAnsi="宋体" w:cs="宋体"/>
          <w:szCs w:val="24"/>
        </w:rPr>
        <w:t>2021年，丰宁县城镇居民人均可支配收入为29,132元，增长8.3%，农村居民人均可支配收入11,620元，增长10.7%。相较于河北省城镇居民人均可支配收入39,791元、农村人均居民可支配收入18,179元，以及承德市城镇居民人均可支配收入36,767、农村居民人均可支配收入14,852元，丰宁县人均收入显著偏低。全县现有常住人口32.64万人，常住人口城镇化率45.45%，相较全省60%的城镇化率和承德市56.58%的城镇化率，显著偏低，农业人口数过多。</w:t>
      </w:r>
    </w:p>
    <w:p>
      <w:pPr>
        <w:ind w:firstLine="480"/>
        <w:rPr>
          <w:rFonts w:ascii="宋体" w:hAnsi="宋体" w:cs="宋体"/>
          <w:szCs w:val="24"/>
        </w:rPr>
      </w:pPr>
      <w:r>
        <w:rPr>
          <w:rFonts w:hint="eastAsia" w:ascii="宋体" w:hAnsi="宋体" w:cs="宋体"/>
          <w:szCs w:val="24"/>
        </w:rPr>
        <w:t>2021年，丰宁县完成全部财政收入17.3亿元，比上年增长17.0%，一般公共财政预算收入8.4亿元，比上年增长7.6%。2021年全部金融机构各项存款余额248.8亿元，比上年增长7.2%，其中住户存款余额199.7亿元；各项贷款余额278.1亿元，比上年增长13.7%。基础设施建设方面，2021年末全县公路通车里程达到3,862.24公里，其中国省干线512公里，县级乡村公路3,425公里。</w:t>
      </w:r>
    </w:p>
    <w:p>
      <w:pPr>
        <w:ind w:firstLine="480"/>
        <w:rPr>
          <w:rFonts w:ascii="宋体" w:hAnsi="宋体" w:cs="宋体"/>
          <w:szCs w:val="24"/>
        </w:rPr>
      </w:pPr>
      <w:r>
        <w:rPr>
          <w:rFonts w:hint="eastAsia" w:ascii="宋体" w:hAnsi="宋体" w:cs="宋体"/>
          <w:szCs w:val="24"/>
        </w:rPr>
        <w:t>产业发展方面，丰宁县依托优越的自然环境和区位优势打造文化旅游医疗康养主导产业，截止2021年，累计创建2A级以上旅游景区11个、省级以上森林公园4个、省级创建和培育类旅游小镇4个、旅游专业村15；同时，利用地域内有利的光照条件，丰宁县大力发展以光伏为主体的清洁能源新兴产业，近些年</w:t>
      </w:r>
      <w:r>
        <w:rPr>
          <w:rFonts w:ascii="宋体" w:hAnsi="宋体" w:cs="宋体"/>
          <w:szCs w:val="24"/>
        </w:rPr>
        <w:t>先后引进大唐国际、国网新能源、国华能源、河北建投、远景能源等</w:t>
      </w:r>
      <w:r>
        <w:rPr>
          <w:rFonts w:hint="eastAsia" w:ascii="宋体" w:hAnsi="宋体" w:cs="宋体"/>
          <w:szCs w:val="24"/>
        </w:rPr>
        <w:t>企业进行</w:t>
      </w:r>
      <w:r>
        <w:rPr>
          <w:rFonts w:ascii="宋体" w:hAnsi="宋体" w:cs="宋体"/>
          <w:szCs w:val="24"/>
        </w:rPr>
        <w:t>合作开发</w:t>
      </w:r>
      <w:r>
        <w:rPr>
          <w:rFonts w:hint="eastAsia" w:ascii="宋体" w:hAnsi="宋体" w:cs="宋体"/>
          <w:szCs w:val="24"/>
        </w:rPr>
        <w:t>，</w:t>
      </w:r>
      <w:r>
        <w:rPr>
          <w:rFonts w:ascii="宋体" w:hAnsi="宋体" w:cs="宋体"/>
          <w:szCs w:val="24"/>
        </w:rPr>
        <w:t>2021年，全县清洁能源项目总装机达到1</w:t>
      </w:r>
      <w:r>
        <w:rPr>
          <w:rFonts w:hint="eastAsia" w:ascii="宋体" w:hAnsi="宋体" w:cs="宋体"/>
          <w:szCs w:val="24"/>
        </w:rPr>
        <w:t>,</w:t>
      </w:r>
      <w:r>
        <w:rPr>
          <w:rFonts w:ascii="宋体" w:hAnsi="宋体" w:cs="宋体"/>
          <w:szCs w:val="24"/>
        </w:rPr>
        <w:t>084.38万千瓦，其中建成投运307.8万千瓦，开工在建300万千瓦（抽水蓄能电站剩余300万千瓦），已获批复待建436.58万千瓦</w:t>
      </w:r>
      <w:r>
        <w:rPr>
          <w:rFonts w:hint="eastAsia" w:ascii="宋体" w:hAnsi="宋体" w:cs="宋体"/>
          <w:szCs w:val="24"/>
        </w:rPr>
        <w:t>；利用</w:t>
      </w:r>
      <w:r>
        <w:rPr>
          <w:rFonts w:ascii="宋体" w:hAnsi="宋体" w:cs="宋体"/>
          <w:szCs w:val="24"/>
        </w:rPr>
        <w:t>京津冀协同发展机遇，</w:t>
      </w:r>
      <w:r>
        <w:rPr>
          <w:rFonts w:hint="eastAsia" w:ascii="宋体" w:hAnsi="宋体" w:cs="宋体"/>
          <w:szCs w:val="24"/>
        </w:rPr>
        <w:t>丰宁县</w:t>
      </w:r>
      <w:r>
        <w:rPr>
          <w:rFonts w:ascii="宋体" w:hAnsi="宋体" w:cs="宋体"/>
          <w:szCs w:val="24"/>
        </w:rPr>
        <w:t>锁定特色装备、食品饮料、环保材料等重点领域</w:t>
      </w:r>
      <w:r>
        <w:rPr>
          <w:rFonts w:hint="eastAsia" w:ascii="宋体" w:hAnsi="宋体" w:cs="宋体"/>
          <w:szCs w:val="24"/>
        </w:rPr>
        <w:t>大力发展特色制造产业，</w:t>
      </w:r>
      <w:r>
        <w:rPr>
          <w:rFonts w:ascii="宋体" w:hAnsi="宋体" w:cs="宋体"/>
          <w:szCs w:val="24"/>
        </w:rPr>
        <w:t>2021年</w:t>
      </w:r>
      <w:r>
        <w:rPr>
          <w:rFonts w:hint="eastAsia" w:ascii="宋体" w:hAnsi="宋体" w:cs="宋体"/>
          <w:szCs w:val="24"/>
        </w:rPr>
        <w:t>末，丰宁经济开发区</w:t>
      </w:r>
      <w:r>
        <w:rPr>
          <w:rFonts w:ascii="宋体" w:hAnsi="宋体" w:cs="宋体"/>
          <w:szCs w:val="24"/>
        </w:rPr>
        <w:t>园区入住企业</w:t>
      </w:r>
      <w:r>
        <w:rPr>
          <w:rFonts w:hint="eastAsia" w:ascii="宋体" w:hAnsi="宋体" w:cs="宋体"/>
          <w:szCs w:val="24"/>
        </w:rPr>
        <w:t>达到</w:t>
      </w:r>
      <w:r>
        <w:rPr>
          <w:rFonts w:ascii="宋体" w:hAnsi="宋体" w:cs="宋体"/>
          <w:szCs w:val="24"/>
        </w:rPr>
        <w:t>260家，主营业务收入突破188亿元</w:t>
      </w:r>
      <w:r>
        <w:rPr>
          <w:rFonts w:hint="eastAsia" w:ascii="宋体" w:hAnsi="宋体" w:cs="宋体"/>
          <w:szCs w:val="24"/>
        </w:rPr>
        <w:t>，</w:t>
      </w:r>
      <w:r>
        <w:rPr>
          <w:rFonts w:ascii="宋体" w:hAnsi="宋体" w:cs="宋体"/>
          <w:szCs w:val="24"/>
        </w:rPr>
        <w:t>增长34%，</w:t>
      </w:r>
      <w:r>
        <w:rPr>
          <w:rFonts w:hint="eastAsia" w:ascii="宋体" w:hAnsi="宋体" w:cs="宋体"/>
          <w:szCs w:val="24"/>
        </w:rPr>
        <w:t>特色制造业已成为县域经济高质量增长的新引擎；有机农业是丰宁县领跑全省的优势产业，</w:t>
      </w:r>
      <w:r>
        <w:rPr>
          <w:rFonts w:ascii="宋体" w:hAnsi="宋体" w:cs="宋体"/>
          <w:szCs w:val="24"/>
        </w:rPr>
        <w:t>2021年，</w:t>
      </w:r>
      <w:r>
        <w:rPr>
          <w:rFonts w:hint="eastAsia" w:ascii="宋体" w:hAnsi="宋体" w:cs="宋体"/>
          <w:szCs w:val="24"/>
        </w:rPr>
        <w:t>全县</w:t>
      </w:r>
      <w:r>
        <w:rPr>
          <w:rFonts w:ascii="宋体" w:hAnsi="宋体" w:cs="宋体"/>
          <w:szCs w:val="24"/>
        </w:rPr>
        <w:t>肉牛存栏增加2.63万只、奶牛存栏</w:t>
      </w:r>
      <w:r>
        <w:rPr>
          <w:rFonts w:hint="eastAsia" w:ascii="宋体" w:hAnsi="宋体" w:cs="宋体"/>
          <w:szCs w:val="24"/>
        </w:rPr>
        <w:t>增加</w:t>
      </w:r>
      <w:r>
        <w:rPr>
          <w:rFonts w:ascii="宋体" w:hAnsi="宋体" w:cs="宋体"/>
          <w:szCs w:val="24"/>
        </w:rPr>
        <w:t>0.55万头，扩种杂粮、蔬菜、中药材等高效作物种植面积9.16万亩，获得有机认证企业达到35家，市级以上龙头企业达到13家,市级以上产业化联合体达到6个。</w:t>
      </w:r>
    </w:p>
    <w:p>
      <w:pPr>
        <w:ind w:firstLine="602"/>
        <w:rPr>
          <w:rFonts w:ascii="黑体" w:hAnsi="黑体" w:eastAsia="黑体" w:cs="黑体"/>
          <w:b/>
          <w:bCs/>
          <w:sz w:val="30"/>
          <w:szCs w:val="30"/>
        </w:rPr>
      </w:pPr>
      <w:r>
        <w:rPr>
          <w:rFonts w:hint="eastAsia" w:ascii="黑体" w:hAnsi="黑体" w:eastAsia="黑体" w:cs="黑体"/>
          <w:b/>
          <w:bCs/>
          <w:sz w:val="30"/>
          <w:szCs w:val="30"/>
        </w:rPr>
        <w:t>二、丰宁县经济社会发展存在的主要问题</w:t>
      </w:r>
    </w:p>
    <w:p>
      <w:pPr>
        <w:ind w:firstLine="480"/>
        <w:rPr>
          <w:rFonts w:ascii="宋体" w:hAnsi="宋体" w:cs="宋体"/>
          <w:szCs w:val="24"/>
        </w:rPr>
      </w:pPr>
      <w:r>
        <w:rPr>
          <w:rFonts w:hint="eastAsia" w:ascii="宋体" w:hAnsi="宋体" w:cs="宋体"/>
          <w:szCs w:val="24"/>
        </w:rPr>
        <w:t>从整体经济社会发展水平看，丰宁县刚刚摆脱贫困不久，总体发展水平不高是基本情况，在经济总量和质量、财政收支、基础设施建设以及生态建设等方面存在诸多的挑战与问题，需要加大力气，采取更实的举措加以改进和突破。</w:t>
      </w:r>
    </w:p>
    <w:p>
      <w:pPr>
        <w:ind w:firstLine="562"/>
        <w:rPr>
          <w:rFonts w:ascii="黑体" w:hAnsi="黑体" w:eastAsia="黑体" w:cs="黑体"/>
          <w:b/>
          <w:bCs/>
          <w:sz w:val="28"/>
          <w:szCs w:val="28"/>
        </w:rPr>
      </w:pPr>
      <w:r>
        <w:rPr>
          <w:rFonts w:hint="eastAsia" w:ascii="黑体" w:hAnsi="黑体" w:eastAsia="黑体" w:cs="黑体"/>
          <w:b/>
          <w:bCs/>
          <w:sz w:val="28"/>
          <w:szCs w:val="28"/>
        </w:rPr>
        <w:t>1、经济总量小，经济质量不高</w:t>
      </w:r>
    </w:p>
    <w:p>
      <w:pPr>
        <w:ind w:firstLine="480"/>
        <w:rPr>
          <w:rFonts w:ascii="宋体" w:hAnsi="宋体" w:cs="宋体"/>
          <w:szCs w:val="24"/>
        </w:rPr>
      </w:pPr>
      <w:r>
        <w:rPr>
          <w:rFonts w:hint="eastAsia" w:ascii="宋体" w:hAnsi="宋体" w:cs="宋体"/>
          <w:szCs w:val="24"/>
        </w:rPr>
        <w:t>根据丰宁县政府数据统计显示，2021年全县地区生产总值为141.7亿元，按照近十年河北省县域经济数据统计分析，丰宁县地区生产总值在河北省168个市辖区、县中排名在第90-100位区间，排名处于中下游，县域经济总量小。同时，县域主导产业规模小，产业链短，融合发展水平较低。文化旅游、医疗康养产业还停留在初级阶段，文化内涵对旅游支撑不足，高端医疗康养领域还处于空白；有机农业种植和深加工规模还比较小，与京津乃至全国市场对接不够深入；传统服务业亟待转型升级，现代服务业基础设施和服务水平还有很大短板。</w:t>
      </w:r>
    </w:p>
    <w:p>
      <w:pPr>
        <w:ind w:firstLine="562"/>
        <w:rPr>
          <w:rFonts w:ascii="黑体" w:hAnsi="黑体" w:eastAsia="黑体" w:cs="黑体"/>
          <w:b/>
          <w:bCs/>
          <w:sz w:val="28"/>
          <w:szCs w:val="28"/>
        </w:rPr>
      </w:pPr>
      <w:r>
        <w:rPr>
          <w:rFonts w:hint="eastAsia" w:ascii="黑体" w:hAnsi="黑体" w:eastAsia="黑体" w:cs="黑体"/>
          <w:b/>
          <w:bCs/>
          <w:sz w:val="28"/>
          <w:szCs w:val="28"/>
        </w:rPr>
        <w:t>2、财政收支矛盾突出，政府债务风险不容忽视</w:t>
      </w:r>
    </w:p>
    <w:p>
      <w:pPr>
        <w:ind w:firstLine="480"/>
        <w:rPr>
          <w:rFonts w:ascii="仿宋_GB2312" w:hAnsi="宋体" w:eastAsia="仿宋_GB2312"/>
          <w:sz w:val="32"/>
          <w:szCs w:val="32"/>
        </w:rPr>
      </w:pPr>
      <w:r>
        <w:rPr>
          <w:rFonts w:hint="eastAsia" w:ascii="宋体" w:hAnsi="宋体" w:cs="宋体"/>
          <w:szCs w:val="24"/>
        </w:rPr>
        <w:t>近年来，由于国际贸易冲突、新冠肺炎疫情等影响，使得本就由于中央和地方政府财权和事权不匹配造成的地方政府基建资金不足、融资渠道受限的窘境更加雪上加霜。地方政府财政支出不断扩张，但地方政府融资平台承担政府性融资依然存在、新增地方债务规模快速发展、PPP模式落地难、地方政府创新融资能力普遍缺乏，进而导致融资渠道受限，使得财政收支矛盾不断突出，而财政支出的不断扩张，特别是地方政府专项债券规模的快速扩张导致不规范项目层出不穷，这可能导致地方政府引发新的债务问题，因此，政府债务风险不容忽视。</w:t>
      </w:r>
    </w:p>
    <w:p>
      <w:pPr>
        <w:ind w:firstLine="562"/>
        <w:rPr>
          <w:rFonts w:ascii="黑体" w:hAnsi="黑体" w:eastAsia="黑体" w:cs="黑体"/>
          <w:b/>
          <w:bCs/>
          <w:sz w:val="28"/>
          <w:szCs w:val="28"/>
        </w:rPr>
      </w:pPr>
      <w:r>
        <w:rPr>
          <w:rFonts w:hint="eastAsia" w:ascii="黑体" w:hAnsi="黑体" w:eastAsia="黑体" w:cs="黑体"/>
          <w:b/>
          <w:bCs/>
          <w:sz w:val="28"/>
          <w:szCs w:val="28"/>
        </w:rPr>
        <w:t>3、基础设施建设未完全突破瓶颈</w:t>
      </w:r>
    </w:p>
    <w:p>
      <w:pPr>
        <w:ind w:firstLine="480"/>
        <w:rPr>
          <w:rFonts w:ascii="宋体" w:hAnsi="宋体" w:cs="宋体"/>
          <w:szCs w:val="24"/>
        </w:rPr>
      </w:pPr>
      <w:r>
        <w:rPr>
          <w:rFonts w:hint="eastAsia" w:ascii="宋体" w:hAnsi="宋体" w:cs="宋体"/>
          <w:szCs w:val="24"/>
        </w:rPr>
        <w:t>基础设施建设是推动县域经济高质量发展的重要手段之一，但丰宁县目前尚未完全突破瓶颈。丰宁县由于历史、经济等方面原因，基础设施依旧薄弱，基础设施短板依然是制约丰宁县经济社会快速发展的重要一环。市政和环保基础设施历史欠账较多，极大的制约了基础设施建设投入，阻碍了城镇化发展进程。截至2021年，丰宁县县域内尚未开通客运铁路和机场，公路等级总体偏低、密度小，缺少连通北京、内蒙古、张家口等地区的高等级交通廊道，县域内旅游景区连通仍然存在断点和堵点，薄弱的交通系统严重阻碍了空间生产力的价值创造，影响了县域经济的快速发展。</w:t>
      </w:r>
    </w:p>
    <w:p>
      <w:pPr>
        <w:ind w:firstLine="562"/>
        <w:rPr>
          <w:rFonts w:ascii="黑体" w:hAnsi="黑体" w:eastAsia="黑体" w:cs="黑体"/>
          <w:b/>
          <w:bCs/>
          <w:sz w:val="28"/>
          <w:szCs w:val="28"/>
        </w:rPr>
      </w:pPr>
      <w:r>
        <w:rPr>
          <w:rFonts w:hint="eastAsia" w:ascii="黑体" w:hAnsi="黑体" w:eastAsia="黑体" w:cs="黑体"/>
          <w:b/>
          <w:bCs/>
          <w:sz w:val="28"/>
          <w:szCs w:val="28"/>
        </w:rPr>
        <w:t>4、生态建设水平落后，未达到“水源涵养”要求</w:t>
      </w:r>
    </w:p>
    <w:p>
      <w:pPr>
        <w:ind w:firstLine="480"/>
        <w:rPr>
          <w:rFonts w:ascii="宋体" w:hAnsi="宋体" w:cs="宋体"/>
          <w:szCs w:val="24"/>
        </w:rPr>
      </w:pPr>
      <w:r>
        <w:rPr>
          <w:rFonts w:hint="eastAsia" w:ascii="宋体" w:hAnsi="宋体" w:cs="宋体"/>
          <w:szCs w:val="24"/>
        </w:rPr>
        <w:t>丰宁县县域面积8738.67平方千米，截至2021年年末县域绿化面积为60%，县域面积大和绿化面积小形成较大反差，森林覆盖率还未进入承德市前列；由于资金、专业水平等限制，森林管护水平还处于较低水平阶段，森林抚育质量仍有很大提升空间，植被涵养水源、阻挡沙源的能力仍需大力提升。</w:t>
      </w:r>
    </w:p>
    <w:p>
      <w:pPr>
        <w:ind w:firstLine="602"/>
        <w:rPr>
          <w:rFonts w:ascii="黑体" w:hAnsi="黑体" w:eastAsia="黑体" w:cs="黑体"/>
          <w:b/>
          <w:bCs/>
          <w:sz w:val="30"/>
          <w:szCs w:val="30"/>
        </w:rPr>
      </w:pPr>
      <w:r>
        <w:rPr>
          <w:rFonts w:hint="eastAsia" w:ascii="黑体" w:hAnsi="黑体" w:eastAsia="黑体" w:cs="黑体"/>
          <w:b/>
          <w:bCs/>
          <w:sz w:val="30"/>
          <w:szCs w:val="30"/>
        </w:rPr>
        <w:t>三、</w:t>
      </w:r>
      <w:r>
        <w:rPr>
          <w:rFonts w:hint="eastAsia" w:ascii="黑体" w:hAnsi="黑体" w:eastAsia="黑体" w:cs="黑体"/>
          <w:b/>
          <w:bCs/>
          <w:sz w:val="30"/>
          <w:szCs w:val="30"/>
          <w:lang w:val="en-US" w:eastAsia="zh-CN"/>
        </w:rPr>
        <w:t>发挥专业优势</w:t>
      </w:r>
      <w:r>
        <w:rPr>
          <w:rFonts w:hint="eastAsia" w:ascii="黑体" w:hAnsi="黑体" w:eastAsia="黑体" w:cs="黑体"/>
          <w:b/>
          <w:bCs/>
          <w:sz w:val="30"/>
          <w:szCs w:val="30"/>
        </w:rPr>
        <w:t>助力丰宁县域经济高质量发展的措施</w:t>
      </w:r>
    </w:p>
    <w:p>
      <w:pPr>
        <w:ind w:firstLine="480"/>
        <w:rPr>
          <w:rFonts w:ascii="宋体" w:hAnsi="宋体" w:cs="宋体"/>
          <w:szCs w:val="24"/>
        </w:rPr>
      </w:pPr>
      <w:r>
        <w:rPr>
          <w:rFonts w:hint="eastAsia" w:ascii="宋体" w:hAnsi="宋体" w:cs="宋体"/>
          <w:szCs w:val="24"/>
        </w:rPr>
        <w:t>习近平总书记指出：“金融活，经济活；金融稳，经济稳”“经济兴，金融兴；经济强，金融强”“经济是肌体，金融是血脉，两者共生共荣”。2022年5月6日，中共中央办公厅、国务院办公厅印发了《关于推进以县城为重要载体的城镇化建设的意见》，意在不断扩大内需，发挥县城基建投资对经济增长的拉动作用，这也对丰宁发展带来了一个良好的政策机遇。</w:t>
      </w:r>
    </w:p>
    <w:p>
      <w:pPr>
        <w:ind w:firstLine="480"/>
        <w:rPr>
          <w:rFonts w:ascii="宋体" w:hAnsi="宋体" w:cs="宋体"/>
          <w:szCs w:val="24"/>
        </w:rPr>
      </w:pPr>
      <w:r>
        <w:rPr>
          <w:rFonts w:hint="eastAsia" w:ascii="宋体" w:hAnsi="宋体" w:cs="宋体"/>
          <w:szCs w:val="24"/>
        </w:rPr>
        <w:t>作为河北省首家上市金融企业，财达证券始终谨记国企属性，积极履行社会责任，牢固树立与实体经济共生共荣的意识，切实回归业务本源，充分发挥资本融通的中介功能和作用，积极服务企业投融资需求，服务地方政府项目发展需求。结合财达证券自身理解和专业优势，我们提出如下发展建议。</w:t>
      </w:r>
    </w:p>
    <w:p>
      <w:pPr>
        <w:ind w:firstLine="562"/>
        <w:rPr>
          <w:rFonts w:ascii="黑体" w:hAnsi="黑体" w:eastAsia="黑体" w:cs="黑体"/>
          <w:b/>
          <w:bCs/>
          <w:sz w:val="28"/>
          <w:szCs w:val="28"/>
        </w:rPr>
      </w:pPr>
      <w:r>
        <w:rPr>
          <w:rFonts w:hint="eastAsia" w:ascii="黑体" w:hAnsi="黑体" w:eastAsia="黑体" w:cs="黑体"/>
          <w:b/>
          <w:bCs/>
          <w:sz w:val="28"/>
          <w:szCs w:val="28"/>
        </w:rPr>
        <w:t>1、用好专项债券，加快公共基础设施建设</w:t>
      </w:r>
    </w:p>
    <w:p>
      <w:pPr>
        <w:ind w:firstLine="480"/>
        <w:rPr>
          <w:rFonts w:ascii="宋体" w:hAnsi="宋体" w:cs="宋体"/>
          <w:szCs w:val="24"/>
        </w:rPr>
      </w:pPr>
      <w:r>
        <w:rPr>
          <w:rFonts w:hint="eastAsia" w:ascii="宋体" w:hAnsi="宋体" w:cs="宋体"/>
          <w:szCs w:val="24"/>
        </w:rPr>
        <w:t>基建投资存在“少项目、少资金、缺配套”等痛点，其中资金方面，对于公益性项目，需要借力地方财政资金投入，符合条件的项目通过中央预算内投资和地方政府专项债券予以支持。充分发挥专项债用作重大项目资本金对社会资金的撬动作用，吸引社会资金投入政府支持领域和产业。实施项目带动战略，狠抓大项目、好项目，高标准建设投资项目库，动态完善在建、新开、储备“三个清单”，健全推进和保障机制，形成投产一批、在建一批、储备一批、谋划一批的梯次滚动发展格局。</w:t>
      </w:r>
    </w:p>
    <w:p>
      <w:pPr>
        <w:ind w:firstLine="480"/>
        <w:rPr>
          <w:rFonts w:ascii="宋体" w:hAnsi="宋体" w:cs="宋体"/>
          <w:szCs w:val="24"/>
        </w:rPr>
      </w:pPr>
      <w:r>
        <w:rPr>
          <w:rFonts w:hint="eastAsia" w:ascii="宋体" w:hAnsi="宋体" w:cs="宋体"/>
          <w:szCs w:val="24"/>
        </w:rPr>
        <w:t>在国家持续推进“两新一重”基础设施建设背景下，丰宁县应当抢抓机遇，加快推进基础设施补短板、提档次，努力形成系统完备、高效适用、智能绿色、安全可靠的现代化基础设施体系，支撑经济社会高质发展。丰宁县政府可以通过立足实际，加大融资创新力度，积极探索在有一定收益的公益性事业领域分类发行专项债券，为当地基础设施建设募集资金，加快当地基础设施建设。</w:t>
      </w:r>
    </w:p>
    <w:p>
      <w:pPr>
        <w:ind w:firstLine="562"/>
        <w:rPr>
          <w:rFonts w:ascii="黑体" w:hAnsi="黑体" w:eastAsia="黑体" w:cs="黑体"/>
          <w:b/>
          <w:bCs/>
          <w:sz w:val="28"/>
          <w:szCs w:val="28"/>
        </w:rPr>
      </w:pPr>
      <w:r>
        <w:rPr>
          <w:rFonts w:hint="eastAsia" w:ascii="黑体" w:hAnsi="黑体" w:eastAsia="黑体" w:cs="黑体"/>
          <w:b/>
          <w:bCs/>
          <w:sz w:val="28"/>
          <w:szCs w:val="28"/>
        </w:rPr>
        <w:t>2、发挥金融机构作用，加大对企业的资本市场业务培训普及</w:t>
      </w:r>
    </w:p>
    <w:p>
      <w:pPr>
        <w:ind w:firstLine="480"/>
        <w:rPr>
          <w:rFonts w:ascii="宋体" w:hAnsi="宋体" w:cs="宋体"/>
          <w:szCs w:val="24"/>
        </w:rPr>
      </w:pPr>
      <w:r>
        <w:rPr>
          <w:rFonts w:hint="eastAsia" w:ascii="宋体" w:hAnsi="宋体" w:cs="宋体"/>
          <w:szCs w:val="24"/>
        </w:rPr>
        <w:t>丰宁县是财达证券一对一的帮扶对象，公司对丰宁平安高科、承德九龙、昌达农业等企业开展过实地考察调研和对接，进行了多层次的资本市场培训活动，因此，在资本市场培训方面有一定工作基础。丰宁县政府可以进一步和财达证券等金融机构展开深度合作，扩大企业对接的范围和数量，加强县域内企业对于资本市场的了解，增强企业从业人员的金融知识储备。同时，政企合作开办专业的资本市场培训班，为丰宁县资本市场的发展培养后备人才。</w:t>
      </w:r>
    </w:p>
    <w:p>
      <w:pPr>
        <w:ind w:firstLine="562"/>
        <w:rPr>
          <w:rFonts w:ascii="黑体" w:hAnsi="黑体" w:eastAsia="黑体" w:cs="黑体"/>
          <w:b/>
          <w:bCs/>
          <w:sz w:val="28"/>
          <w:szCs w:val="28"/>
        </w:rPr>
      </w:pPr>
      <w:r>
        <w:rPr>
          <w:rFonts w:hint="eastAsia" w:ascii="黑体" w:hAnsi="黑体" w:eastAsia="黑体" w:cs="黑体"/>
          <w:b/>
          <w:bCs/>
          <w:sz w:val="28"/>
          <w:szCs w:val="28"/>
        </w:rPr>
        <w:t>3、加强政府投资项目审批管理，强化县域金融防控</w:t>
      </w:r>
    </w:p>
    <w:p>
      <w:pPr>
        <w:ind w:firstLine="480"/>
        <w:rPr>
          <w:rFonts w:ascii="宋体" w:hAnsi="宋体" w:cs="宋体"/>
          <w:szCs w:val="24"/>
        </w:rPr>
      </w:pPr>
      <w:r>
        <w:rPr>
          <w:rFonts w:hint="eastAsia" w:ascii="宋体" w:hAnsi="宋体" w:cs="宋体"/>
          <w:szCs w:val="24"/>
        </w:rPr>
        <w:t>加强政府投资项目的审批管理。加强政府债务管理，规范政府举债融资方式，规范财政借款，政府投资与财力水平相适应，关注债务风险隐患，做好应急预案，牢牢守住不发生重大风险的底线，确保财政资金安全，实现经济建设与财政收入良性循环。</w:t>
      </w:r>
    </w:p>
    <w:p>
      <w:pPr>
        <w:ind w:firstLine="480"/>
        <w:rPr>
          <w:rFonts w:ascii="宋体" w:hAnsi="宋体" w:cs="宋体"/>
          <w:szCs w:val="24"/>
        </w:rPr>
      </w:pPr>
      <w:r>
        <w:rPr>
          <w:rFonts w:hint="eastAsia" w:ascii="宋体" w:hAnsi="宋体" w:cs="宋体"/>
          <w:szCs w:val="24"/>
        </w:rPr>
        <w:t>强化债务风险管控。妥善化解存量债务，甄别丰宁县国有企业承担的政府性债务及债务形成的资产，对政府性存量债务和企业自有债务，分别制定债务化解处置方案，通过债务置换、债务展期、存量资产转化等方式，逐步清偿存量债务。建立财务风险预警系统，重点关注并定期监测债务风险、现金流风险、盈利能力风险和投资风险等重大财务风险，多维度分析和判断国有企业整体财务状况及各企业差异化财务风险特征，全面构筑债务风险“防火墙”。</w:t>
      </w:r>
    </w:p>
    <w:p>
      <w:pPr>
        <w:ind w:firstLine="562"/>
        <w:rPr>
          <w:rFonts w:ascii="黑体" w:hAnsi="黑体" w:eastAsia="黑体" w:cs="黑体"/>
          <w:b/>
          <w:bCs/>
          <w:sz w:val="28"/>
          <w:szCs w:val="28"/>
        </w:rPr>
      </w:pPr>
      <w:r>
        <w:rPr>
          <w:rFonts w:hint="eastAsia" w:ascii="黑体" w:hAnsi="黑体" w:eastAsia="黑体" w:cs="黑体"/>
          <w:b/>
          <w:bCs/>
          <w:sz w:val="28"/>
          <w:szCs w:val="28"/>
        </w:rPr>
        <w:t>4、依托多层次资本市场，拓宽县域企业融资渠道</w:t>
      </w:r>
    </w:p>
    <w:p>
      <w:pPr>
        <w:ind w:firstLine="480"/>
        <w:rPr>
          <w:rFonts w:ascii="宋体" w:hAnsi="宋体" w:cs="宋体"/>
          <w:szCs w:val="24"/>
        </w:rPr>
      </w:pPr>
      <w:r>
        <w:rPr>
          <w:rFonts w:hint="eastAsia" w:ascii="宋体" w:hAnsi="宋体" w:cs="宋体"/>
          <w:szCs w:val="24"/>
        </w:rPr>
        <w:t>依托多层次资本市场，引导企业积极利用债券市场、股权市场融资，通过发行扶贫专项债、私募债、企业债、公司债、收益权凭证、ABS等，为政府平台盘活存量、做大增量以及优化质量提供支持，助力丰宁县产业发展。引进符合丰宁县当地行业特点的知名优势企业，进行收购兼并或资产重组，利用引进企业的先进理念、管理、渠道等优势，做大做强当地企业，带动地方特色产业发展。</w:t>
      </w:r>
    </w:p>
    <w:p>
      <w:pPr>
        <w:ind w:firstLine="480"/>
        <w:rPr>
          <w:rFonts w:ascii="宋体" w:hAnsi="宋体" w:cs="宋体"/>
          <w:szCs w:val="24"/>
        </w:rPr>
      </w:pPr>
      <w:r>
        <w:rPr>
          <w:rFonts w:hint="eastAsia" w:ascii="宋体" w:hAnsi="宋体" w:cs="宋体"/>
          <w:szCs w:val="24"/>
        </w:rPr>
        <w:t>拓宽投融资渠道，推进丰宁县平台公司通过公开资本市场融资、招商引资等市场化运作方式筹措建设资金。推动资本要素市场化，优化政府投资方式，支持鼓励参与重点产业发展基金建设，发挥政府资金的引导作用和放大效应，提高政府资金使用效率，吸引社会资金投入政府支持领域和产业。</w:t>
      </w:r>
    </w:p>
    <w:p>
      <w:pPr>
        <w:ind w:firstLine="480"/>
        <w:rPr>
          <w:rFonts w:ascii="宋体" w:hAnsi="宋体" w:cs="宋体"/>
          <w:szCs w:val="24"/>
        </w:rPr>
      </w:pPr>
    </w:p>
    <w:p>
      <w:pPr>
        <w:ind w:firstLine="480"/>
        <w:jc w:val="right"/>
        <w:rPr>
          <w:rFonts w:ascii="宋体" w:hAnsi="宋体" w:cs="宋体"/>
          <w:szCs w:val="24"/>
        </w:rPr>
      </w:pPr>
      <w:r>
        <w:rPr>
          <w:rFonts w:hint="eastAsia" w:ascii="宋体" w:hAnsi="宋体" w:cs="宋体"/>
          <w:szCs w:val="24"/>
        </w:rPr>
        <w:t xml:space="preserve">                               二〇二二年八月</w:t>
      </w:r>
    </w:p>
    <w:sectPr>
      <w:footerReference r:id="rId11" w:type="default"/>
      <w:pgSz w:w="11906" w:h="16838"/>
      <w:pgMar w:top="1440" w:right="1800" w:bottom="1440" w:left="1800" w:header="851" w:footer="992"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80"/>
      <w:jc w:val="center"/>
      <w:rPr>
        <w:rFonts w:ascii="Times New Roman" w:hAnsi="Times New Roman" w:cs="Times New Roman"/>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firstLine="36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ind w:firstLine="36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FB1"/>
    <w:rsid w:val="0000210D"/>
    <w:rsid w:val="00031EAD"/>
    <w:rsid w:val="00082881"/>
    <w:rsid w:val="00117DF1"/>
    <w:rsid w:val="001259DD"/>
    <w:rsid w:val="001355A8"/>
    <w:rsid w:val="00141A9D"/>
    <w:rsid w:val="00181733"/>
    <w:rsid w:val="001945AA"/>
    <w:rsid w:val="001A703B"/>
    <w:rsid w:val="001B2099"/>
    <w:rsid w:val="001D6E68"/>
    <w:rsid w:val="001E731E"/>
    <w:rsid w:val="001F1FB1"/>
    <w:rsid w:val="0021682B"/>
    <w:rsid w:val="00254612"/>
    <w:rsid w:val="002579D2"/>
    <w:rsid w:val="002628AF"/>
    <w:rsid w:val="002819D4"/>
    <w:rsid w:val="002964E7"/>
    <w:rsid w:val="002A2897"/>
    <w:rsid w:val="002E646C"/>
    <w:rsid w:val="002F531A"/>
    <w:rsid w:val="00306D49"/>
    <w:rsid w:val="0033236F"/>
    <w:rsid w:val="003364AC"/>
    <w:rsid w:val="003671A0"/>
    <w:rsid w:val="003715BC"/>
    <w:rsid w:val="00393B4C"/>
    <w:rsid w:val="003B7EF4"/>
    <w:rsid w:val="003D142E"/>
    <w:rsid w:val="003E323B"/>
    <w:rsid w:val="003E41C5"/>
    <w:rsid w:val="003F6E50"/>
    <w:rsid w:val="00404ADD"/>
    <w:rsid w:val="0040520B"/>
    <w:rsid w:val="00412737"/>
    <w:rsid w:val="00420CBE"/>
    <w:rsid w:val="0044181F"/>
    <w:rsid w:val="0047388C"/>
    <w:rsid w:val="00480082"/>
    <w:rsid w:val="004A3F93"/>
    <w:rsid w:val="004A65A0"/>
    <w:rsid w:val="004B188B"/>
    <w:rsid w:val="004B72A8"/>
    <w:rsid w:val="004D1738"/>
    <w:rsid w:val="004D225A"/>
    <w:rsid w:val="004D74C1"/>
    <w:rsid w:val="005060FF"/>
    <w:rsid w:val="005565F6"/>
    <w:rsid w:val="00584319"/>
    <w:rsid w:val="005A62FA"/>
    <w:rsid w:val="005C5E01"/>
    <w:rsid w:val="005E0713"/>
    <w:rsid w:val="00603108"/>
    <w:rsid w:val="006057B4"/>
    <w:rsid w:val="00665B94"/>
    <w:rsid w:val="00670132"/>
    <w:rsid w:val="006A12B0"/>
    <w:rsid w:val="006C36D6"/>
    <w:rsid w:val="006E4787"/>
    <w:rsid w:val="006E501E"/>
    <w:rsid w:val="00754CF1"/>
    <w:rsid w:val="00772268"/>
    <w:rsid w:val="00793F76"/>
    <w:rsid w:val="007A1F94"/>
    <w:rsid w:val="007B3E1A"/>
    <w:rsid w:val="00824C84"/>
    <w:rsid w:val="00827925"/>
    <w:rsid w:val="008353A3"/>
    <w:rsid w:val="00842EAE"/>
    <w:rsid w:val="00844370"/>
    <w:rsid w:val="00855AFE"/>
    <w:rsid w:val="008643CA"/>
    <w:rsid w:val="00865539"/>
    <w:rsid w:val="00867492"/>
    <w:rsid w:val="008A5F61"/>
    <w:rsid w:val="008C16A0"/>
    <w:rsid w:val="008C749A"/>
    <w:rsid w:val="00904DF8"/>
    <w:rsid w:val="00910C45"/>
    <w:rsid w:val="00976B3A"/>
    <w:rsid w:val="009B7523"/>
    <w:rsid w:val="009C59C5"/>
    <w:rsid w:val="009F68CD"/>
    <w:rsid w:val="00A320E6"/>
    <w:rsid w:val="00A35675"/>
    <w:rsid w:val="00A36494"/>
    <w:rsid w:val="00A404F2"/>
    <w:rsid w:val="00A449F8"/>
    <w:rsid w:val="00A61E01"/>
    <w:rsid w:val="00A84C2F"/>
    <w:rsid w:val="00AC3DB7"/>
    <w:rsid w:val="00AD4BBA"/>
    <w:rsid w:val="00AE1A65"/>
    <w:rsid w:val="00AF03A9"/>
    <w:rsid w:val="00BA05D1"/>
    <w:rsid w:val="00BB4436"/>
    <w:rsid w:val="00BD0FA9"/>
    <w:rsid w:val="00BD2B6D"/>
    <w:rsid w:val="00BE28D0"/>
    <w:rsid w:val="00BE4E4D"/>
    <w:rsid w:val="00C04612"/>
    <w:rsid w:val="00C91400"/>
    <w:rsid w:val="00CC2D21"/>
    <w:rsid w:val="00CE6C33"/>
    <w:rsid w:val="00D230C1"/>
    <w:rsid w:val="00D2674B"/>
    <w:rsid w:val="00D379BB"/>
    <w:rsid w:val="00D620A9"/>
    <w:rsid w:val="00D77E82"/>
    <w:rsid w:val="00D84ED9"/>
    <w:rsid w:val="00D8559F"/>
    <w:rsid w:val="00D86EC3"/>
    <w:rsid w:val="00DE59FF"/>
    <w:rsid w:val="00DF7661"/>
    <w:rsid w:val="00E114A8"/>
    <w:rsid w:val="00E13CFF"/>
    <w:rsid w:val="00E31B68"/>
    <w:rsid w:val="00E40440"/>
    <w:rsid w:val="00E51337"/>
    <w:rsid w:val="00E555F1"/>
    <w:rsid w:val="00E60C16"/>
    <w:rsid w:val="00E875A4"/>
    <w:rsid w:val="00E900BA"/>
    <w:rsid w:val="00F01942"/>
    <w:rsid w:val="00F177B9"/>
    <w:rsid w:val="00F40A42"/>
    <w:rsid w:val="00F62EA4"/>
    <w:rsid w:val="00F66D85"/>
    <w:rsid w:val="00FA1048"/>
    <w:rsid w:val="00FB0235"/>
    <w:rsid w:val="00FC56A5"/>
    <w:rsid w:val="00FC63F3"/>
    <w:rsid w:val="00FD386C"/>
    <w:rsid w:val="00FE4768"/>
    <w:rsid w:val="00FF0A43"/>
    <w:rsid w:val="0D1F127C"/>
    <w:rsid w:val="127C53C7"/>
    <w:rsid w:val="12DB40A1"/>
    <w:rsid w:val="177F7FA7"/>
    <w:rsid w:val="17BC553D"/>
    <w:rsid w:val="1D063C2E"/>
    <w:rsid w:val="1FC12FF6"/>
    <w:rsid w:val="25CA12DE"/>
    <w:rsid w:val="2B1F4527"/>
    <w:rsid w:val="3A11621A"/>
    <w:rsid w:val="462E276A"/>
    <w:rsid w:val="59156363"/>
    <w:rsid w:val="630F6759"/>
    <w:rsid w:val="646C7D9B"/>
    <w:rsid w:val="69275B90"/>
    <w:rsid w:val="76776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eastAsia="宋体" w:asciiTheme="minorHAnsi" w:hAnsiTheme="minorHAnsi" w:cstheme="minorBidi"/>
      <w:kern w:val="2"/>
      <w:sz w:val="24"/>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3">
    <w:name w:val="footer"/>
    <w:basedOn w:val="1"/>
    <w:link w:val="13"/>
    <w:unhideWhenUsed/>
    <w:qFormat/>
    <w:uiPriority w:val="99"/>
    <w:pPr>
      <w:tabs>
        <w:tab w:val="center" w:pos="4153"/>
        <w:tab w:val="right" w:pos="8306"/>
      </w:tabs>
      <w:snapToGrid w:val="0"/>
      <w:spacing w:line="240" w:lineRule="auto"/>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5">
    <w:name w:val="footnote text"/>
    <w:basedOn w:val="1"/>
    <w:link w:val="14"/>
    <w:semiHidden/>
    <w:unhideWhenUsed/>
    <w:qFormat/>
    <w:uiPriority w:val="99"/>
    <w:pPr>
      <w:snapToGrid w:val="0"/>
      <w:jc w:val="left"/>
    </w:pPr>
    <w:rPr>
      <w:sz w:val="18"/>
      <w:szCs w:val="18"/>
    </w:rPr>
  </w:style>
  <w:style w:type="paragraph" w:styleId="6">
    <w:name w:val="Title"/>
    <w:next w:val="1"/>
    <w:link w:val="10"/>
    <w:qFormat/>
    <w:uiPriority w:val="10"/>
    <w:pPr>
      <w:spacing w:before="240" w:after="60"/>
      <w:jc w:val="center"/>
      <w:outlineLvl w:val="0"/>
    </w:pPr>
    <w:rPr>
      <w:rFonts w:ascii="方正小标宋简体" w:hAnsi="方正小标宋简体" w:eastAsia="方正小标宋简体" w:cstheme="majorBidi"/>
      <w:b/>
      <w:bCs/>
      <w:kern w:val="2"/>
      <w:sz w:val="36"/>
      <w:szCs w:val="36"/>
      <w:lang w:val="en-US" w:eastAsia="zh-CN" w:bidi="ar-SA"/>
    </w:rPr>
  </w:style>
  <w:style w:type="character" w:styleId="9">
    <w:name w:val="footnote reference"/>
    <w:basedOn w:val="8"/>
    <w:semiHidden/>
    <w:unhideWhenUsed/>
    <w:qFormat/>
    <w:uiPriority w:val="99"/>
    <w:rPr>
      <w:vertAlign w:val="superscript"/>
    </w:rPr>
  </w:style>
  <w:style w:type="character" w:customStyle="1" w:styleId="10">
    <w:name w:val="标题 Char"/>
    <w:basedOn w:val="8"/>
    <w:link w:val="6"/>
    <w:qFormat/>
    <w:uiPriority w:val="10"/>
    <w:rPr>
      <w:rFonts w:ascii="方正小标宋简体" w:hAnsi="方正小标宋简体" w:eastAsia="方正小标宋简体" w:cstheme="majorBidi"/>
      <w:b/>
      <w:bCs/>
      <w:sz w:val="36"/>
      <w:szCs w:val="36"/>
    </w:rPr>
  </w:style>
  <w:style w:type="paragraph" w:styleId="11">
    <w:name w:val="List Paragraph"/>
    <w:basedOn w:val="1"/>
    <w:qFormat/>
    <w:uiPriority w:val="34"/>
    <w:pPr>
      <w:ind w:firstLine="420"/>
    </w:pPr>
  </w:style>
  <w:style w:type="character" w:customStyle="1" w:styleId="12">
    <w:name w:val="页眉 Char"/>
    <w:basedOn w:val="8"/>
    <w:link w:val="4"/>
    <w:qFormat/>
    <w:uiPriority w:val="99"/>
    <w:rPr>
      <w:rFonts w:eastAsia="宋体"/>
      <w:sz w:val="18"/>
      <w:szCs w:val="18"/>
    </w:rPr>
  </w:style>
  <w:style w:type="character" w:customStyle="1" w:styleId="13">
    <w:name w:val="页脚 Char"/>
    <w:basedOn w:val="8"/>
    <w:link w:val="3"/>
    <w:qFormat/>
    <w:uiPriority w:val="99"/>
    <w:rPr>
      <w:rFonts w:eastAsia="宋体"/>
      <w:sz w:val="18"/>
      <w:szCs w:val="18"/>
    </w:rPr>
  </w:style>
  <w:style w:type="character" w:customStyle="1" w:styleId="14">
    <w:name w:val="脚注文本 Char"/>
    <w:basedOn w:val="8"/>
    <w:link w:val="5"/>
    <w:semiHidden/>
    <w:qFormat/>
    <w:uiPriority w:val="99"/>
    <w:rPr>
      <w:rFonts w:eastAsia="宋体"/>
      <w:sz w:val="18"/>
      <w:szCs w:val="18"/>
    </w:rPr>
  </w:style>
  <w:style w:type="paragraph" w:customStyle="1" w:styleId="15">
    <w:name w:val="修订1"/>
    <w:hidden/>
    <w:semiHidden/>
    <w:qFormat/>
    <w:uiPriority w:val="99"/>
    <w:rPr>
      <w:rFonts w:eastAsia="宋体" w:asciiTheme="minorHAnsi" w:hAnsiTheme="minorHAnsi" w:cstheme="minorBidi"/>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A72C6B-48D0-48ED-B06D-F87CAD0B0537}">
  <ds:schemaRefs/>
</ds:datastoreItem>
</file>

<file path=docProps/app.xml><?xml version="1.0" encoding="utf-8"?>
<Properties xmlns="http://schemas.openxmlformats.org/officeDocument/2006/extended-properties" xmlns:vt="http://schemas.openxmlformats.org/officeDocument/2006/docPropsVTypes">
  <Template>Normal</Template>
  <Pages>7</Pages>
  <Words>764</Words>
  <Characters>4356</Characters>
  <Lines>36</Lines>
  <Paragraphs>10</Paragraphs>
  <TotalTime>15</TotalTime>
  <ScaleCrop>false</ScaleCrop>
  <LinksUpToDate>false</LinksUpToDate>
  <CharactersWithSpaces>5110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2022-08-30T07:09:00Z</dcterms:created>
  <dc:creator>li xz</dc:creator>
  <cp:lastModifiedBy>屈剑</cp:lastModifiedBy>
  <dcterms:modified xsi:type="dcterms:W3CDTF">2022-09-06T06:10:27Z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