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15942" w14:textId="77777777" w:rsidR="00F7286A" w:rsidRPr="00F7286A" w:rsidRDefault="00F7286A" w:rsidP="00F7286A">
      <w:pPr>
        <w:numPr>
          <w:ilvl w:val="0"/>
          <w:numId w:val="0"/>
        </w:numPr>
        <w:jc w:val="center"/>
        <w:rPr>
          <w:rFonts w:ascii="Times New Roman" w:eastAsia="华文中宋" w:hAnsi="华文中宋" w:cs="Times New Roman"/>
          <w:b/>
          <w:sz w:val="48"/>
          <w:szCs w:val="48"/>
        </w:rPr>
      </w:pPr>
      <w:bookmarkStart w:id="0" w:name="_Hlk112884412"/>
      <w:r w:rsidRPr="00F7286A">
        <w:rPr>
          <w:rFonts w:ascii="Times New Roman" w:eastAsia="华文中宋" w:hAnsi="华文中宋" w:cs="Times New Roman"/>
          <w:b/>
          <w:sz w:val="48"/>
          <w:szCs w:val="48"/>
        </w:rPr>
        <w:t>证券行业促进乡村振兴公益行动</w:t>
      </w:r>
    </w:p>
    <w:p w14:paraId="231A016F" w14:textId="77777777" w:rsidR="00F7286A" w:rsidRPr="00F7286A" w:rsidRDefault="00F7286A" w:rsidP="00F7286A">
      <w:pPr>
        <w:numPr>
          <w:ilvl w:val="0"/>
          <w:numId w:val="0"/>
        </w:numPr>
        <w:jc w:val="center"/>
        <w:rPr>
          <w:rFonts w:ascii="Times New Roman" w:eastAsia="华文中宋" w:hAnsi="华文中宋" w:cs="Times New Roman"/>
          <w:b/>
          <w:sz w:val="48"/>
          <w:szCs w:val="48"/>
        </w:rPr>
      </w:pPr>
      <w:r w:rsidRPr="00F7286A">
        <w:rPr>
          <w:rFonts w:ascii="Times New Roman" w:eastAsia="华文中宋" w:hAnsi="Times New Roman" w:cs="Times New Roman"/>
          <w:b/>
          <w:sz w:val="48"/>
          <w:szCs w:val="48"/>
        </w:rPr>
        <w:t>20</w:t>
      </w:r>
      <w:r w:rsidRPr="00F7286A">
        <w:rPr>
          <w:rFonts w:ascii="Times New Roman" w:eastAsia="华文中宋" w:hAnsi="Times New Roman" w:cs="Times New Roman" w:hint="eastAsia"/>
          <w:b/>
          <w:sz w:val="48"/>
          <w:szCs w:val="48"/>
        </w:rPr>
        <w:t>22</w:t>
      </w:r>
      <w:r w:rsidRPr="00F7286A">
        <w:rPr>
          <w:rFonts w:ascii="Times New Roman" w:eastAsia="华文中宋" w:hAnsi="华文中宋" w:cs="Times New Roman"/>
          <w:b/>
          <w:sz w:val="48"/>
          <w:szCs w:val="48"/>
        </w:rPr>
        <w:t>年</w:t>
      </w:r>
      <w:r w:rsidRPr="00F7286A">
        <w:rPr>
          <w:rFonts w:ascii="Times New Roman" w:eastAsia="华文中宋" w:hAnsi="华文中宋" w:cs="Times New Roman" w:hint="eastAsia"/>
          <w:b/>
          <w:sz w:val="48"/>
          <w:szCs w:val="48"/>
        </w:rPr>
        <w:t>县域经济调研报告</w:t>
      </w:r>
    </w:p>
    <w:p w14:paraId="6CD68361" w14:textId="77777777" w:rsidR="00F7286A" w:rsidRPr="00F7286A" w:rsidRDefault="00F7286A" w:rsidP="00F7286A">
      <w:pPr>
        <w:numPr>
          <w:ilvl w:val="0"/>
          <w:numId w:val="0"/>
        </w:numPr>
        <w:rPr>
          <w:rFonts w:ascii="宋体" w:eastAsia="宋体" w:hAnsi="宋体" w:cs="Times New Roman"/>
          <w:sz w:val="32"/>
          <w:szCs w:val="24"/>
        </w:rPr>
      </w:pPr>
    </w:p>
    <w:p w14:paraId="7C7B0756" w14:textId="0B7A1FFF" w:rsidR="00F7286A" w:rsidRPr="00F7286A" w:rsidRDefault="00F7286A" w:rsidP="00F7286A">
      <w:pPr>
        <w:numPr>
          <w:ilvl w:val="0"/>
          <w:numId w:val="0"/>
        </w:numPr>
        <w:ind w:left="1450"/>
        <w:rPr>
          <w:rFonts w:ascii="仿宋_GB2312" w:eastAsia="仿宋_GB2312" w:hAnsi="宋体" w:cs="Times New Roman"/>
          <w:b/>
          <w:sz w:val="32"/>
          <w:szCs w:val="24"/>
          <w:u w:val="single"/>
        </w:rPr>
      </w:pPr>
      <w:r w:rsidRPr="00F7286A">
        <w:rPr>
          <w:rFonts w:ascii="仿宋_GB2312" w:eastAsia="仿宋_GB2312" w:hAnsi="宋体" w:cs="Times New Roman" w:hint="eastAsia"/>
          <w:b/>
          <w:sz w:val="32"/>
          <w:szCs w:val="24"/>
        </w:rPr>
        <w:t>报告名称：</w:t>
      </w:r>
      <w:r w:rsidR="006B6C7B" w:rsidRPr="006B6C7B">
        <w:rPr>
          <w:rFonts w:ascii="仿宋_GB2312" w:eastAsia="仿宋_GB2312" w:hAnsi="宋体" w:cs="Times New Roman" w:hint="eastAsia"/>
          <w:sz w:val="32"/>
          <w:szCs w:val="24"/>
          <w:u w:val="single"/>
        </w:rPr>
        <w:t>证券业服务绿春县乡村振兴研究</w:t>
      </w:r>
      <w:r w:rsidR="006B6C7B">
        <w:rPr>
          <w:rFonts w:ascii="仿宋_GB2312" w:eastAsia="仿宋_GB2312" w:hAnsi="宋体" w:cs="Times New Roman" w:hint="eastAsia"/>
          <w:b/>
          <w:sz w:val="32"/>
          <w:szCs w:val="24"/>
          <w:u w:val="single"/>
        </w:rPr>
        <w:t xml:space="preserve"> </w:t>
      </w:r>
      <w:r w:rsidR="006B6C7B">
        <w:rPr>
          <w:rFonts w:ascii="仿宋_GB2312" w:eastAsia="仿宋_GB2312" w:hAnsi="宋体" w:cs="Times New Roman"/>
          <w:b/>
          <w:sz w:val="32"/>
          <w:szCs w:val="24"/>
          <w:u w:val="single"/>
        </w:rPr>
        <w:t xml:space="preserve">  </w:t>
      </w:r>
      <w:r w:rsidR="00785293">
        <w:rPr>
          <w:rFonts w:ascii="仿宋_GB2312" w:eastAsia="仿宋_GB2312" w:hAnsi="宋体" w:cs="Times New Roman"/>
          <w:b/>
          <w:sz w:val="32"/>
          <w:szCs w:val="24"/>
          <w:u w:val="single"/>
        </w:rPr>
        <w:t xml:space="preserve">   </w:t>
      </w:r>
      <w:r w:rsidR="006B6C7B">
        <w:rPr>
          <w:rFonts w:ascii="仿宋_GB2312" w:eastAsia="仿宋_GB2312" w:hAnsi="宋体" w:cs="Times New Roman"/>
          <w:b/>
          <w:sz w:val="32"/>
          <w:szCs w:val="24"/>
          <w:u w:val="single"/>
        </w:rPr>
        <w:t xml:space="preserve"> </w:t>
      </w:r>
      <w:r w:rsidRPr="00F7286A">
        <w:rPr>
          <w:rFonts w:ascii="仿宋_GB2312" w:eastAsia="仿宋_GB2312" w:hAnsi="宋体" w:cs="Times New Roman" w:hint="eastAsia"/>
          <w:b/>
          <w:sz w:val="32"/>
          <w:szCs w:val="24"/>
          <w:u w:val="single"/>
        </w:rPr>
        <w:t xml:space="preserve"> </w:t>
      </w:r>
    </w:p>
    <w:p w14:paraId="16D56C0D" w14:textId="77777777" w:rsidR="00F7286A" w:rsidRPr="00F7286A" w:rsidRDefault="00F7286A" w:rsidP="00F7286A">
      <w:pPr>
        <w:numPr>
          <w:ilvl w:val="0"/>
          <w:numId w:val="0"/>
        </w:numPr>
        <w:rPr>
          <w:rFonts w:ascii="仿宋_GB2312" w:eastAsia="仿宋_GB2312" w:hAnsi="宋体" w:cs="Times New Roman"/>
          <w:sz w:val="32"/>
          <w:szCs w:val="24"/>
        </w:rPr>
      </w:pPr>
    </w:p>
    <w:p w14:paraId="149EE14D" w14:textId="2005468A" w:rsidR="00F7286A" w:rsidRPr="00F7286A" w:rsidRDefault="00F7286A" w:rsidP="00F7286A">
      <w:pPr>
        <w:numPr>
          <w:ilvl w:val="0"/>
          <w:numId w:val="0"/>
        </w:numPr>
        <w:ind w:left="1450"/>
        <w:rPr>
          <w:rFonts w:ascii="仿宋_GB2312" w:eastAsia="仿宋_GB2312" w:hAnsi="宋体" w:cs="Times New Roman"/>
          <w:sz w:val="32"/>
          <w:szCs w:val="24"/>
          <w:u w:val="single"/>
        </w:rPr>
      </w:pPr>
      <w:r w:rsidRPr="00F7286A">
        <w:rPr>
          <w:rFonts w:ascii="仿宋_GB2312" w:eastAsia="仿宋_GB2312" w:hAnsi="宋体" w:cs="Times New Roman" w:hint="eastAsia"/>
          <w:b/>
          <w:sz w:val="32"/>
          <w:szCs w:val="24"/>
        </w:rPr>
        <w:t>调研县域</w:t>
      </w:r>
      <w:r w:rsidR="006B6C7B">
        <w:rPr>
          <w:rFonts w:ascii="仿宋_GB2312" w:eastAsia="仿宋_GB2312" w:hAnsi="宋体" w:cs="Times New Roman" w:hint="eastAsia"/>
          <w:b/>
          <w:sz w:val="32"/>
          <w:szCs w:val="24"/>
        </w:rPr>
        <w:t>：</w:t>
      </w:r>
      <w:r w:rsidR="006B6C7B">
        <w:rPr>
          <w:rFonts w:ascii="仿宋_GB2312" w:eastAsia="仿宋_GB2312" w:hAnsi="宋体" w:cs="Times New Roman" w:hint="eastAsia"/>
          <w:sz w:val="32"/>
          <w:szCs w:val="24"/>
          <w:u w:val="single"/>
        </w:rPr>
        <w:t>云南省红河州绿春</w:t>
      </w:r>
      <w:r w:rsidRPr="00F7286A">
        <w:rPr>
          <w:rFonts w:ascii="仿宋_GB2312" w:eastAsia="仿宋_GB2312" w:hAnsi="宋体" w:cs="Times New Roman"/>
          <w:sz w:val="32"/>
          <w:szCs w:val="24"/>
          <w:u w:val="single"/>
        </w:rPr>
        <w:t xml:space="preserve">县    </w:t>
      </w:r>
      <w:r w:rsidR="006B6C7B">
        <w:rPr>
          <w:rFonts w:ascii="仿宋_GB2312" w:eastAsia="仿宋_GB2312" w:hAnsi="宋体" w:cs="Times New Roman"/>
          <w:sz w:val="32"/>
          <w:szCs w:val="24"/>
          <w:u w:val="single"/>
        </w:rPr>
        <w:t xml:space="preserve">      </w:t>
      </w:r>
      <w:r w:rsidRPr="00F7286A">
        <w:rPr>
          <w:rFonts w:ascii="仿宋_GB2312" w:eastAsia="仿宋_GB2312" w:hAnsi="宋体" w:cs="Times New Roman"/>
          <w:sz w:val="32"/>
          <w:szCs w:val="24"/>
          <w:u w:val="single"/>
        </w:rPr>
        <w:t xml:space="preserve">  </w:t>
      </w:r>
      <w:r w:rsidR="00785293">
        <w:rPr>
          <w:rFonts w:ascii="仿宋_GB2312" w:eastAsia="仿宋_GB2312" w:hAnsi="宋体" w:cs="Times New Roman"/>
          <w:sz w:val="32"/>
          <w:szCs w:val="24"/>
          <w:u w:val="single"/>
        </w:rPr>
        <w:t xml:space="preserve">  </w:t>
      </w:r>
      <w:r w:rsidR="00DC5925">
        <w:rPr>
          <w:rFonts w:ascii="仿宋_GB2312" w:eastAsia="仿宋_GB2312" w:hAnsi="宋体" w:cs="Times New Roman"/>
          <w:sz w:val="32"/>
          <w:szCs w:val="24"/>
          <w:u w:val="single"/>
        </w:rPr>
        <w:t xml:space="preserve"> </w:t>
      </w:r>
      <w:r w:rsidR="00785293">
        <w:rPr>
          <w:rFonts w:ascii="仿宋_GB2312" w:eastAsia="仿宋_GB2312" w:hAnsi="宋体" w:cs="Times New Roman"/>
          <w:sz w:val="32"/>
          <w:szCs w:val="24"/>
          <w:u w:val="single"/>
        </w:rPr>
        <w:t xml:space="preserve"> </w:t>
      </w:r>
      <w:r w:rsidRPr="00F7286A">
        <w:rPr>
          <w:rFonts w:ascii="仿宋_GB2312" w:eastAsia="仿宋_GB2312" w:hAnsi="宋体" w:cs="Times New Roman"/>
          <w:sz w:val="32"/>
          <w:szCs w:val="24"/>
          <w:u w:val="single"/>
        </w:rPr>
        <w:t xml:space="preserve">  </w:t>
      </w:r>
    </w:p>
    <w:p w14:paraId="2E3611C1" w14:textId="77777777" w:rsidR="00F7286A" w:rsidRPr="00F7286A" w:rsidRDefault="00F7286A" w:rsidP="00F7286A">
      <w:pPr>
        <w:numPr>
          <w:ilvl w:val="0"/>
          <w:numId w:val="0"/>
        </w:numPr>
        <w:ind w:left="1450"/>
        <w:rPr>
          <w:rFonts w:ascii="仿宋_GB2312" w:eastAsia="仿宋_GB2312" w:hAnsi="宋体" w:cs="Times New Roman"/>
          <w:sz w:val="32"/>
          <w:szCs w:val="24"/>
          <w:u w:val="single"/>
        </w:rPr>
      </w:pPr>
    </w:p>
    <w:p w14:paraId="6B53D73A" w14:textId="3930CBC0" w:rsidR="00F7286A" w:rsidRPr="00F7286A" w:rsidRDefault="00F7286A" w:rsidP="00F7286A">
      <w:pPr>
        <w:numPr>
          <w:ilvl w:val="0"/>
          <w:numId w:val="0"/>
        </w:numPr>
        <w:ind w:left="1450"/>
        <w:rPr>
          <w:rFonts w:ascii="仿宋_GB2312" w:eastAsia="仿宋_GB2312" w:hAnsi="宋体" w:cs="Times New Roman"/>
          <w:b/>
          <w:sz w:val="32"/>
          <w:szCs w:val="24"/>
          <w:u w:val="single"/>
        </w:rPr>
      </w:pPr>
      <w:r w:rsidRPr="00F7286A">
        <w:rPr>
          <w:rFonts w:ascii="仿宋_GB2312" w:eastAsia="仿宋_GB2312" w:hAnsi="宋体" w:cs="Times New Roman" w:hint="eastAsia"/>
          <w:b/>
          <w:sz w:val="32"/>
          <w:szCs w:val="24"/>
        </w:rPr>
        <w:t>牵头调研单位</w:t>
      </w:r>
      <w:r w:rsidR="006B6C7B">
        <w:rPr>
          <w:rFonts w:ascii="仿宋_GB2312" w:eastAsia="仿宋_GB2312" w:hAnsi="宋体" w:cs="Times New Roman" w:hint="eastAsia"/>
          <w:b/>
          <w:sz w:val="32"/>
          <w:szCs w:val="24"/>
        </w:rPr>
        <w:t>：</w:t>
      </w:r>
      <w:r w:rsidR="00785293" w:rsidRPr="00785293">
        <w:rPr>
          <w:rFonts w:ascii="仿宋_GB2312" w:eastAsia="仿宋_GB2312" w:hAnsi="宋体" w:cs="Times New Roman" w:hint="eastAsia"/>
          <w:sz w:val="32"/>
          <w:szCs w:val="24"/>
          <w:u w:val="single"/>
        </w:rPr>
        <w:t>安信证券股份有限公司</w:t>
      </w:r>
      <w:r w:rsidRPr="00F7286A">
        <w:rPr>
          <w:rFonts w:ascii="仿宋_GB2312" w:eastAsia="仿宋_GB2312" w:hAnsi="宋体" w:cs="Times New Roman"/>
          <w:b/>
          <w:sz w:val="32"/>
          <w:szCs w:val="24"/>
          <w:u w:val="single"/>
        </w:rPr>
        <w:t xml:space="preserve">        </w:t>
      </w:r>
      <w:r w:rsidR="00785293">
        <w:rPr>
          <w:rFonts w:ascii="仿宋_GB2312" w:eastAsia="仿宋_GB2312" w:hAnsi="宋体" w:cs="Times New Roman"/>
          <w:b/>
          <w:sz w:val="32"/>
          <w:szCs w:val="24"/>
          <w:u w:val="single"/>
        </w:rPr>
        <w:t xml:space="preserve"> </w:t>
      </w:r>
      <w:r w:rsidR="00DC5925">
        <w:rPr>
          <w:rFonts w:ascii="仿宋_GB2312" w:eastAsia="仿宋_GB2312" w:hAnsi="宋体" w:cs="Times New Roman"/>
          <w:b/>
          <w:sz w:val="32"/>
          <w:szCs w:val="24"/>
          <w:u w:val="single"/>
        </w:rPr>
        <w:t xml:space="preserve"> </w:t>
      </w:r>
      <w:r w:rsidR="00785293">
        <w:rPr>
          <w:rFonts w:ascii="仿宋_GB2312" w:eastAsia="仿宋_GB2312" w:hAnsi="宋体" w:cs="Times New Roman"/>
          <w:b/>
          <w:sz w:val="32"/>
          <w:szCs w:val="24"/>
          <w:u w:val="single"/>
        </w:rPr>
        <w:t xml:space="preserve"> </w:t>
      </w:r>
      <w:r w:rsidRPr="00F7286A">
        <w:rPr>
          <w:rFonts w:ascii="仿宋_GB2312" w:eastAsia="仿宋_GB2312" w:hAnsi="宋体" w:cs="Times New Roman"/>
          <w:b/>
          <w:sz w:val="32"/>
          <w:szCs w:val="24"/>
          <w:u w:val="single"/>
        </w:rPr>
        <w:t xml:space="preserve"> </w:t>
      </w:r>
    </w:p>
    <w:p w14:paraId="0A74BC2B" w14:textId="77777777" w:rsidR="00F7286A" w:rsidRPr="00F7286A" w:rsidRDefault="00F7286A" w:rsidP="00F7286A">
      <w:pPr>
        <w:numPr>
          <w:ilvl w:val="0"/>
          <w:numId w:val="0"/>
        </w:numPr>
        <w:rPr>
          <w:rFonts w:ascii="仿宋_GB2312" w:eastAsia="仿宋_GB2312" w:hAnsi="宋体" w:cs="Times New Roman"/>
          <w:sz w:val="32"/>
          <w:szCs w:val="24"/>
          <w:u w:val="single"/>
        </w:rPr>
      </w:pPr>
    </w:p>
    <w:p w14:paraId="3B6366E8" w14:textId="07718304" w:rsidR="00F7286A" w:rsidRPr="00F7286A" w:rsidRDefault="00F7286A" w:rsidP="00F7286A">
      <w:pPr>
        <w:numPr>
          <w:ilvl w:val="0"/>
          <w:numId w:val="0"/>
        </w:numPr>
        <w:ind w:left="1450"/>
        <w:rPr>
          <w:rFonts w:ascii="仿宋_GB2312" w:eastAsia="仿宋_GB2312" w:hAnsi="宋体" w:cs="Times New Roman"/>
          <w:b/>
          <w:sz w:val="32"/>
          <w:szCs w:val="24"/>
          <w:u w:val="single"/>
        </w:rPr>
      </w:pPr>
      <w:r w:rsidRPr="00F7286A">
        <w:rPr>
          <w:rFonts w:ascii="仿宋_GB2312" w:eastAsia="仿宋_GB2312" w:hAnsi="宋体" w:cs="Times New Roman" w:hint="eastAsia"/>
          <w:b/>
          <w:sz w:val="32"/>
          <w:szCs w:val="24"/>
        </w:rPr>
        <w:t>联合调研单位</w:t>
      </w:r>
      <w:r w:rsidR="00785293">
        <w:rPr>
          <w:rFonts w:ascii="仿宋_GB2312" w:eastAsia="仿宋_GB2312" w:hAnsi="宋体" w:cs="Times New Roman" w:hint="eastAsia"/>
          <w:b/>
          <w:sz w:val="32"/>
          <w:szCs w:val="24"/>
        </w:rPr>
        <w:t>：</w:t>
      </w:r>
      <w:r w:rsidR="00785293" w:rsidRPr="00785293">
        <w:rPr>
          <w:rFonts w:ascii="仿宋_GB2312" w:eastAsia="仿宋_GB2312" w:hAnsi="宋体" w:cs="Times New Roman" w:hint="eastAsia"/>
          <w:sz w:val="32"/>
          <w:szCs w:val="24"/>
          <w:u w:val="single"/>
        </w:rPr>
        <w:t>云南锡业集团（控股）有限责任公司</w:t>
      </w:r>
    </w:p>
    <w:p w14:paraId="6F6FAF57" w14:textId="77777777" w:rsidR="00F7286A" w:rsidRPr="00F7286A" w:rsidRDefault="00F7286A" w:rsidP="00F7286A">
      <w:pPr>
        <w:numPr>
          <w:ilvl w:val="0"/>
          <w:numId w:val="0"/>
        </w:numPr>
        <w:ind w:left="1450"/>
        <w:rPr>
          <w:rFonts w:ascii="仿宋_GB2312" w:eastAsia="仿宋_GB2312" w:hAnsi="宋体" w:cs="Times New Roman"/>
          <w:sz w:val="32"/>
          <w:szCs w:val="24"/>
        </w:rPr>
      </w:pPr>
    </w:p>
    <w:p w14:paraId="2AA68D60" w14:textId="29818F72" w:rsidR="00F7286A" w:rsidRPr="00F7286A" w:rsidRDefault="00F7286A" w:rsidP="00F7286A">
      <w:pPr>
        <w:numPr>
          <w:ilvl w:val="0"/>
          <w:numId w:val="0"/>
        </w:numPr>
        <w:ind w:left="1450"/>
        <w:rPr>
          <w:rFonts w:ascii="仿宋_GB2312" w:eastAsia="仿宋_GB2312" w:hAnsi="宋体" w:cs="Times New Roman"/>
          <w:b/>
          <w:sz w:val="32"/>
          <w:szCs w:val="24"/>
          <w:u w:val="single"/>
        </w:rPr>
      </w:pPr>
      <w:r w:rsidRPr="00F7286A">
        <w:rPr>
          <w:rFonts w:ascii="仿宋_GB2312" w:eastAsia="仿宋_GB2312" w:hAnsi="宋体" w:cs="Times New Roman" w:hint="eastAsia"/>
          <w:b/>
          <w:sz w:val="32"/>
          <w:szCs w:val="24"/>
        </w:rPr>
        <w:t>调研组负责人</w:t>
      </w:r>
      <w:r w:rsidR="00065356">
        <w:rPr>
          <w:rFonts w:ascii="仿宋_GB2312" w:eastAsia="仿宋_GB2312" w:hAnsi="宋体" w:cs="Times New Roman" w:hint="eastAsia"/>
          <w:b/>
          <w:sz w:val="32"/>
          <w:szCs w:val="24"/>
        </w:rPr>
        <w:t>：</w:t>
      </w:r>
      <w:r w:rsidR="00065356" w:rsidRPr="00065356">
        <w:rPr>
          <w:rFonts w:ascii="仿宋_GB2312" w:eastAsia="仿宋_GB2312" w:hAnsi="宋体" w:cs="Times New Roman" w:hint="eastAsia"/>
          <w:sz w:val="32"/>
          <w:szCs w:val="24"/>
          <w:u w:val="single"/>
        </w:rPr>
        <w:t>徐荣健</w:t>
      </w:r>
      <w:r w:rsidRPr="00F7286A">
        <w:rPr>
          <w:rFonts w:ascii="仿宋_GB2312" w:eastAsia="仿宋_GB2312" w:hAnsi="宋体" w:cs="Times New Roman"/>
          <w:b/>
          <w:sz w:val="32"/>
          <w:szCs w:val="24"/>
          <w:u w:val="single"/>
        </w:rPr>
        <w:t xml:space="preserve">                </w:t>
      </w:r>
      <w:r w:rsidRPr="00F7286A">
        <w:rPr>
          <w:rFonts w:ascii="仿宋_GB2312" w:eastAsia="仿宋_GB2312" w:hAnsi="宋体" w:cs="Times New Roman" w:hint="eastAsia"/>
          <w:b/>
          <w:sz w:val="32"/>
          <w:szCs w:val="24"/>
          <w:u w:val="single"/>
        </w:rPr>
        <w:t xml:space="preserve"> </w:t>
      </w:r>
      <w:r w:rsidRPr="00F7286A">
        <w:rPr>
          <w:rFonts w:ascii="仿宋_GB2312" w:eastAsia="仿宋_GB2312" w:hAnsi="宋体" w:cs="Times New Roman"/>
          <w:b/>
          <w:sz w:val="32"/>
          <w:szCs w:val="24"/>
          <w:u w:val="single"/>
        </w:rPr>
        <w:t xml:space="preserve">  </w:t>
      </w:r>
      <w:r w:rsidR="00065356">
        <w:rPr>
          <w:rFonts w:ascii="仿宋_GB2312" w:eastAsia="仿宋_GB2312" w:hAnsi="宋体" w:cs="Times New Roman"/>
          <w:b/>
          <w:sz w:val="32"/>
          <w:szCs w:val="24"/>
          <w:u w:val="single"/>
        </w:rPr>
        <w:t xml:space="preserve">     </w:t>
      </w:r>
      <w:r w:rsidRPr="00F7286A">
        <w:rPr>
          <w:rFonts w:ascii="仿宋_GB2312" w:eastAsia="仿宋_GB2312" w:hAnsi="宋体" w:cs="Times New Roman"/>
          <w:b/>
          <w:sz w:val="32"/>
          <w:szCs w:val="24"/>
          <w:u w:val="single"/>
        </w:rPr>
        <w:t xml:space="preserve"> </w:t>
      </w:r>
      <w:r w:rsidRPr="00F7286A">
        <w:rPr>
          <w:rFonts w:ascii="仿宋_GB2312" w:eastAsia="仿宋_GB2312" w:hAnsi="宋体" w:cs="Times New Roman" w:hint="eastAsia"/>
          <w:b/>
          <w:sz w:val="32"/>
          <w:szCs w:val="24"/>
          <w:u w:val="single"/>
        </w:rPr>
        <w:t xml:space="preserve"> </w:t>
      </w:r>
    </w:p>
    <w:p w14:paraId="528A5D96" w14:textId="77777777" w:rsidR="00F7286A" w:rsidRPr="00F7286A" w:rsidRDefault="00F7286A" w:rsidP="00F7286A">
      <w:pPr>
        <w:numPr>
          <w:ilvl w:val="0"/>
          <w:numId w:val="0"/>
        </w:numPr>
        <w:rPr>
          <w:rFonts w:ascii="仿宋_GB2312" w:eastAsia="仿宋_GB2312" w:hAnsi="宋体" w:cs="Times New Roman"/>
          <w:sz w:val="32"/>
          <w:szCs w:val="24"/>
          <w:u w:val="single"/>
        </w:rPr>
      </w:pPr>
    </w:p>
    <w:p w14:paraId="213528CC" w14:textId="1A333F4E" w:rsidR="00F7286A" w:rsidRPr="00F7286A" w:rsidRDefault="00F7286A" w:rsidP="00F7286A">
      <w:pPr>
        <w:numPr>
          <w:ilvl w:val="0"/>
          <w:numId w:val="0"/>
        </w:numPr>
        <w:ind w:left="1450"/>
        <w:rPr>
          <w:rFonts w:ascii="仿宋_GB2312" w:eastAsia="仿宋_GB2312" w:hAnsi="宋体" w:cs="Times New Roman"/>
          <w:b/>
          <w:sz w:val="32"/>
          <w:szCs w:val="24"/>
          <w:u w:val="single"/>
        </w:rPr>
      </w:pPr>
      <w:r w:rsidRPr="00F7286A">
        <w:rPr>
          <w:rFonts w:ascii="仿宋_GB2312" w:eastAsia="仿宋_GB2312" w:hAnsi="宋体" w:cs="Times New Roman" w:hint="eastAsia"/>
          <w:b/>
          <w:sz w:val="32"/>
          <w:szCs w:val="24"/>
        </w:rPr>
        <w:t>调研组成员</w:t>
      </w:r>
      <w:r w:rsidR="00D8147A">
        <w:rPr>
          <w:rFonts w:ascii="仿宋_GB2312" w:eastAsia="仿宋_GB2312" w:hAnsi="宋体" w:cs="Times New Roman" w:hint="eastAsia"/>
          <w:b/>
          <w:sz w:val="32"/>
          <w:szCs w:val="24"/>
        </w:rPr>
        <w:t>：</w:t>
      </w:r>
      <w:r w:rsidR="001769A4" w:rsidRPr="001769A4">
        <w:rPr>
          <w:rFonts w:ascii="仿宋_GB2312" w:eastAsia="仿宋_GB2312" w:hAnsi="宋体" w:cs="Times New Roman" w:hint="eastAsia"/>
          <w:sz w:val="32"/>
          <w:szCs w:val="24"/>
          <w:u w:val="single"/>
        </w:rPr>
        <w:t>徐荣健</w:t>
      </w:r>
      <w:r w:rsidR="007A6FCC">
        <w:rPr>
          <w:rFonts w:ascii="仿宋_GB2312" w:eastAsia="仿宋_GB2312" w:hAnsi="宋体" w:cs="Times New Roman" w:hint="eastAsia"/>
          <w:sz w:val="32"/>
          <w:szCs w:val="24"/>
          <w:u w:val="single"/>
        </w:rPr>
        <w:t>、</w:t>
      </w:r>
      <w:r w:rsidR="001769A4" w:rsidRPr="001769A4">
        <w:rPr>
          <w:rFonts w:ascii="仿宋_GB2312" w:eastAsia="仿宋_GB2312" w:hAnsi="宋体" w:cs="Times New Roman" w:hint="eastAsia"/>
          <w:sz w:val="32"/>
          <w:szCs w:val="24"/>
          <w:u w:val="single"/>
        </w:rPr>
        <w:t>邬海波</w:t>
      </w:r>
      <w:r w:rsidR="007A6FCC">
        <w:rPr>
          <w:rFonts w:ascii="仿宋_GB2312" w:eastAsia="仿宋_GB2312" w:hAnsi="宋体" w:cs="Times New Roman" w:hint="eastAsia"/>
          <w:sz w:val="32"/>
          <w:szCs w:val="24"/>
          <w:u w:val="single"/>
        </w:rPr>
        <w:t>、</w:t>
      </w:r>
      <w:r w:rsidR="001769A4" w:rsidRPr="001769A4">
        <w:rPr>
          <w:rFonts w:ascii="仿宋_GB2312" w:eastAsia="仿宋_GB2312" w:hAnsi="宋体" w:cs="Times New Roman" w:hint="eastAsia"/>
          <w:sz w:val="32"/>
          <w:szCs w:val="24"/>
          <w:u w:val="single"/>
        </w:rPr>
        <w:t>黄璇</w:t>
      </w:r>
      <w:r w:rsidR="007A6FCC">
        <w:rPr>
          <w:rFonts w:ascii="仿宋_GB2312" w:eastAsia="仿宋_GB2312" w:hAnsi="宋体" w:cs="Times New Roman" w:hint="eastAsia"/>
          <w:sz w:val="32"/>
          <w:szCs w:val="24"/>
          <w:u w:val="single"/>
        </w:rPr>
        <w:t>、</w:t>
      </w:r>
      <w:r w:rsidR="001769A4" w:rsidRPr="001769A4">
        <w:rPr>
          <w:rFonts w:ascii="仿宋_GB2312" w:eastAsia="仿宋_GB2312" w:hAnsi="宋体" w:cs="Times New Roman" w:hint="eastAsia"/>
          <w:sz w:val="32"/>
          <w:szCs w:val="24"/>
          <w:u w:val="single"/>
        </w:rPr>
        <w:t>王栋梁</w:t>
      </w:r>
      <w:r w:rsidRPr="00F7286A">
        <w:rPr>
          <w:rFonts w:ascii="仿宋_GB2312" w:eastAsia="仿宋_GB2312" w:hAnsi="宋体" w:cs="Times New Roman" w:hint="eastAsia"/>
          <w:b/>
          <w:sz w:val="32"/>
          <w:szCs w:val="24"/>
          <w:u w:val="single"/>
        </w:rPr>
        <w:t xml:space="preserve">      </w:t>
      </w:r>
    </w:p>
    <w:p w14:paraId="0F6AE3C4" w14:textId="77777777" w:rsidR="00F7286A" w:rsidRPr="00F7286A" w:rsidRDefault="00F7286A" w:rsidP="00F7286A">
      <w:pPr>
        <w:numPr>
          <w:ilvl w:val="0"/>
          <w:numId w:val="0"/>
        </w:numPr>
        <w:spacing w:line="225" w:lineRule="atLeast"/>
        <w:rPr>
          <w:rFonts w:ascii="宋体" w:eastAsia="宋体" w:hAnsi="宋体" w:cs="Times New Roman"/>
          <w:sz w:val="32"/>
          <w:szCs w:val="24"/>
        </w:rPr>
      </w:pPr>
    </w:p>
    <w:p w14:paraId="12B09EE3" w14:textId="77777777" w:rsidR="00F7286A" w:rsidRPr="00F7286A" w:rsidRDefault="00F7286A" w:rsidP="00F7286A">
      <w:pPr>
        <w:numPr>
          <w:ilvl w:val="0"/>
          <w:numId w:val="0"/>
        </w:numPr>
        <w:spacing w:line="225" w:lineRule="atLeast"/>
        <w:rPr>
          <w:rFonts w:ascii="宋体" w:eastAsia="宋体" w:hAnsi="宋体" w:cs="Times New Roman"/>
          <w:sz w:val="32"/>
          <w:szCs w:val="24"/>
        </w:rPr>
      </w:pPr>
    </w:p>
    <w:p w14:paraId="1CCC2549" w14:textId="77777777" w:rsidR="00F7286A" w:rsidRPr="00F7286A" w:rsidRDefault="00F7286A" w:rsidP="00F7286A">
      <w:pPr>
        <w:numPr>
          <w:ilvl w:val="0"/>
          <w:numId w:val="0"/>
        </w:numPr>
        <w:spacing w:line="225" w:lineRule="atLeast"/>
        <w:rPr>
          <w:rFonts w:ascii="宋体" w:eastAsia="宋体" w:hAnsi="宋体" w:cs="Times New Roman"/>
          <w:sz w:val="32"/>
          <w:szCs w:val="24"/>
        </w:rPr>
      </w:pPr>
    </w:p>
    <w:p w14:paraId="156700F1" w14:textId="77777777" w:rsidR="00F7286A" w:rsidRPr="00F7286A" w:rsidRDefault="00F7286A" w:rsidP="00F7286A">
      <w:pPr>
        <w:numPr>
          <w:ilvl w:val="0"/>
          <w:numId w:val="0"/>
        </w:numPr>
        <w:spacing w:line="225" w:lineRule="atLeast"/>
        <w:jc w:val="center"/>
        <w:rPr>
          <w:rFonts w:ascii="仿宋_GB2312" w:eastAsia="仿宋_GB2312" w:hAnsi="宋体" w:cs="Times New Roman"/>
          <w:b/>
          <w:sz w:val="32"/>
          <w:szCs w:val="32"/>
        </w:rPr>
      </w:pPr>
      <w:r w:rsidRPr="00F7286A">
        <w:rPr>
          <w:rFonts w:ascii="仿宋_GB2312" w:eastAsia="仿宋_GB2312" w:hAnsi="Times New Roman" w:cs="Times New Roman" w:hint="eastAsia"/>
          <w:b/>
          <w:sz w:val="32"/>
          <w:szCs w:val="32"/>
        </w:rPr>
        <w:t>中国证券业协会</w:t>
      </w:r>
    </w:p>
    <w:p w14:paraId="2B9BC989" w14:textId="77777777" w:rsidR="00F7286A" w:rsidRPr="00F7286A" w:rsidRDefault="00F7286A" w:rsidP="00F7286A">
      <w:pPr>
        <w:numPr>
          <w:ilvl w:val="0"/>
          <w:numId w:val="0"/>
        </w:numPr>
        <w:spacing w:line="225" w:lineRule="atLeast"/>
        <w:jc w:val="center"/>
        <w:rPr>
          <w:rFonts w:ascii="仿宋_GB2312" w:eastAsia="仿宋_GB2312" w:hAnsi="Times New Roman" w:cs="Times New Roman"/>
          <w:b/>
          <w:sz w:val="32"/>
          <w:szCs w:val="32"/>
        </w:rPr>
      </w:pPr>
      <w:r w:rsidRPr="00F7286A">
        <w:rPr>
          <w:rFonts w:ascii="仿宋_GB2312" w:eastAsia="仿宋_GB2312" w:hAnsi="Times New Roman" w:cs="Times New Roman" w:hint="eastAsia"/>
          <w:b/>
          <w:sz w:val="32"/>
          <w:szCs w:val="32"/>
        </w:rPr>
        <w:t>2022年8月</w:t>
      </w:r>
    </w:p>
    <w:bookmarkEnd w:id="0"/>
    <w:p w14:paraId="2E8DADE0" w14:textId="6B823ACE" w:rsidR="00271056" w:rsidRDefault="00271056" w:rsidP="00B87DD4">
      <w:pPr>
        <w:pStyle w:val="005"/>
        <w:spacing w:line="480" w:lineRule="auto"/>
        <w:ind w:firstLineChars="0" w:firstLine="0"/>
        <w:jc w:val="center"/>
        <w:rPr>
          <w:rFonts w:ascii="宋体" w:hAnsi="宋体"/>
          <w:b/>
          <w:sz w:val="28"/>
          <w:szCs w:val="28"/>
        </w:rPr>
        <w:sectPr w:rsidR="00271056" w:rsidSect="00271056">
          <w:headerReference w:type="default" r:id="rId8"/>
          <w:footerReference w:type="default" r:id="rId9"/>
          <w:footnotePr>
            <w:numRestart w:val="eachPage"/>
          </w:footnotePr>
          <w:pgSz w:w="11906" w:h="16838"/>
          <w:pgMar w:top="1418" w:right="1134" w:bottom="1418" w:left="1134" w:header="851" w:footer="992" w:gutter="0"/>
          <w:cols w:space="425"/>
          <w:docGrid w:type="lines" w:linePitch="312"/>
        </w:sectPr>
      </w:pPr>
    </w:p>
    <w:p w14:paraId="0500152F" w14:textId="42066C22" w:rsidR="00A252C8" w:rsidRDefault="00A252C8" w:rsidP="00F64C7C">
      <w:pPr>
        <w:pStyle w:val="001"/>
        <w:spacing w:before="156" w:after="156"/>
        <w:outlineLvl w:val="9"/>
      </w:pPr>
      <w:r w:rsidRPr="007B1546">
        <w:rPr>
          <w:rFonts w:hint="eastAsia"/>
        </w:rPr>
        <w:lastRenderedPageBreak/>
        <w:t>摘</w:t>
      </w:r>
      <w:r w:rsidRPr="007B1546">
        <w:rPr>
          <w:rFonts w:hint="eastAsia"/>
        </w:rPr>
        <w:t xml:space="preserve"> </w:t>
      </w:r>
      <w:r w:rsidRPr="007B1546">
        <w:t xml:space="preserve"> </w:t>
      </w:r>
      <w:r w:rsidRPr="007B1546">
        <w:rPr>
          <w:rFonts w:hint="eastAsia"/>
        </w:rPr>
        <w:t>要</w:t>
      </w:r>
    </w:p>
    <w:p w14:paraId="3836E3CF" w14:textId="77777777" w:rsidR="00A252C8" w:rsidRPr="0029318C" w:rsidRDefault="00A252C8" w:rsidP="0029318C">
      <w:pPr>
        <w:pStyle w:val="005"/>
        <w:ind w:firstLine="480"/>
      </w:pPr>
      <w:r w:rsidRPr="0029318C">
        <w:rPr>
          <w:rFonts w:hint="eastAsia"/>
        </w:rPr>
        <w:t>随着我国脱贫攻坚战取得全面胜利，证券行业成为助力脱贫攻坚战斗中的中坚力量。证券业将发挥专业优势，继续落实党和中央的扶贫精神，深入展开帮扶乡村振兴的伟大工作。本文通过对证券业现有帮扶模式进行梳理总结，并结合安信证券股份有限公司实地调研云南省红河州绿春县的成果，为证券业及绿春县落实乡村振兴工作提出具体建议。</w:t>
      </w:r>
    </w:p>
    <w:p w14:paraId="7746340D" w14:textId="77777777" w:rsidR="00F64C7C" w:rsidRDefault="00F64C7C" w:rsidP="00F64C7C">
      <w:pPr>
        <w:pStyle w:val="005"/>
        <w:ind w:firstLine="482"/>
        <w:rPr>
          <w:b/>
          <w:bCs/>
        </w:rPr>
      </w:pPr>
    </w:p>
    <w:p w14:paraId="5B47DF04" w14:textId="77777777" w:rsidR="00F64C7C" w:rsidRDefault="00A252C8" w:rsidP="00F64C7C">
      <w:pPr>
        <w:pStyle w:val="005"/>
        <w:ind w:firstLine="482"/>
        <w:sectPr w:rsidR="00F64C7C" w:rsidSect="00271056">
          <w:footnotePr>
            <w:numRestart w:val="eachPage"/>
          </w:footnotePr>
          <w:pgSz w:w="11906" w:h="16838"/>
          <w:pgMar w:top="1418" w:right="1134" w:bottom="1418" w:left="1134" w:header="851" w:footer="992" w:gutter="0"/>
          <w:pgNumType w:start="1"/>
          <w:cols w:space="425"/>
          <w:docGrid w:type="lines" w:linePitch="312"/>
        </w:sectPr>
      </w:pPr>
      <w:r w:rsidRPr="00F64C7C">
        <w:rPr>
          <w:rFonts w:hint="eastAsia"/>
          <w:b/>
          <w:bCs/>
        </w:rPr>
        <w:t>关键词：</w:t>
      </w:r>
      <w:r w:rsidRPr="00F64C7C">
        <w:rPr>
          <w:rFonts w:hint="eastAsia"/>
        </w:rPr>
        <w:t>安信证券；证券业；乡村振兴</w:t>
      </w:r>
    </w:p>
    <w:p w14:paraId="07466055" w14:textId="097B66EC" w:rsidR="007B1546" w:rsidRDefault="007B1546" w:rsidP="007B1546">
      <w:pPr>
        <w:pStyle w:val="001"/>
        <w:spacing w:before="156" w:after="156"/>
        <w:outlineLvl w:val="9"/>
        <w:rPr>
          <w:b w:val="0"/>
          <w:bCs w:val="0"/>
        </w:rPr>
      </w:pPr>
      <w:r>
        <w:rPr>
          <w:rFonts w:hint="eastAsia"/>
          <w:bCs w:val="0"/>
        </w:rPr>
        <w:lastRenderedPageBreak/>
        <w:t>目</w:t>
      </w:r>
      <w:r>
        <w:rPr>
          <w:rFonts w:hint="eastAsia"/>
          <w:bCs w:val="0"/>
        </w:rPr>
        <w:t xml:space="preserve"> </w:t>
      </w:r>
      <w:r>
        <w:rPr>
          <w:bCs w:val="0"/>
        </w:rPr>
        <w:t xml:space="preserve"> </w:t>
      </w:r>
      <w:r>
        <w:rPr>
          <w:rFonts w:hint="eastAsia"/>
          <w:bCs w:val="0"/>
        </w:rPr>
        <w:t>录</w:t>
      </w:r>
    </w:p>
    <w:bookmarkStart w:id="1" w:name="_Toc112089144"/>
    <w:p w14:paraId="215BBA1E" w14:textId="59C5FE0E" w:rsidR="00B51EA9" w:rsidRDefault="00DE12C6">
      <w:pPr>
        <w:pStyle w:val="TOC1"/>
        <w:rPr>
          <w:rFonts w:asciiTheme="minorHAnsi" w:eastAsiaTheme="minorEastAsia" w:hAnsiTheme="minorHAnsi" w:cstheme="minorBidi"/>
          <w:bCs w:val="0"/>
          <w:noProof/>
          <w:sz w:val="21"/>
          <w:szCs w:val="22"/>
          <w:lang w:val="en-US"/>
        </w:rPr>
      </w:pPr>
      <w:r>
        <w:fldChar w:fldCharType="begin"/>
      </w:r>
      <w:r>
        <w:instrText xml:space="preserve"> TOC \o "1-3" \h \z \u </w:instrText>
      </w:r>
      <w:r>
        <w:fldChar w:fldCharType="separate"/>
      </w:r>
      <w:hyperlink w:anchor="_Toc112915727" w:history="1">
        <w:r w:rsidR="00B51EA9" w:rsidRPr="001D3941">
          <w:rPr>
            <w:rStyle w:val="a9"/>
            <w:noProof/>
          </w:rPr>
          <w:t>前</w:t>
        </w:r>
        <w:r w:rsidR="00B51EA9" w:rsidRPr="001D3941">
          <w:rPr>
            <w:rStyle w:val="a9"/>
            <w:noProof/>
          </w:rPr>
          <w:t xml:space="preserve">  </w:t>
        </w:r>
        <w:r w:rsidR="00B51EA9" w:rsidRPr="001D3941">
          <w:rPr>
            <w:rStyle w:val="a9"/>
            <w:noProof/>
          </w:rPr>
          <w:t>言</w:t>
        </w:r>
        <w:r w:rsidR="00B51EA9">
          <w:rPr>
            <w:noProof/>
            <w:webHidden/>
          </w:rPr>
          <w:tab/>
        </w:r>
        <w:r w:rsidR="00B51EA9">
          <w:rPr>
            <w:noProof/>
            <w:webHidden/>
          </w:rPr>
          <w:fldChar w:fldCharType="begin"/>
        </w:r>
        <w:r w:rsidR="00B51EA9">
          <w:rPr>
            <w:noProof/>
            <w:webHidden/>
          </w:rPr>
          <w:instrText xml:space="preserve"> PAGEREF _Toc112915727 \h </w:instrText>
        </w:r>
        <w:r w:rsidR="00B51EA9">
          <w:rPr>
            <w:noProof/>
            <w:webHidden/>
          </w:rPr>
        </w:r>
        <w:r w:rsidR="00B51EA9">
          <w:rPr>
            <w:noProof/>
            <w:webHidden/>
          </w:rPr>
          <w:fldChar w:fldCharType="separate"/>
        </w:r>
        <w:r w:rsidR="00B51EA9">
          <w:rPr>
            <w:noProof/>
            <w:webHidden/>
          </w:rPr>
          <w:t>1</w:t>
        </w:r>
        <w:r w:rsidR="00B51EA9">
          <w:rPr>
            <w:noProof/>
            <w:webHidden/>
          </w:rPr>
          <w:fldChar w:fldCharType="end"/>
        </w:r>
      </w:hyperlink>
    </w:p>
    <w:p w14:paraId="56FFC74C" w14:textId="79DC9955" w:rsidR="00B51EA9" w:rsidRDefault="00B51EA9">
      <w:pPr>
        <w:pStyle w:val="TOC1"/>
        <w:rPr>
          <w:rFonts w:asciiTheme="minorHAnsi" w:eastAsiaTheme="minorEastAsia" w:hAnsiTheme="minorHAnsi" w:cstheme="minorBidi"/>
          <w:bCs w:val="0"/>
          <w:noProof/>
          <w:sz w:val="21"/>
          <w:szCs w:val="22"/>
          <w:lang w:val="en-US"/>
        </w:rPr>
      </w:pPr>
      <w:hyperlink w:anchor="_Toc112915728" w:history="1">
        <w:r w:rsidRPr="001D3941">
          <w:rPr>
            <w:rStyle w:val="a9"/>
            <w:noProof/>
          </w:rPr>
          <w:t>第一章</w:t>
        </w:r>
        <w:r w:rsidRPr="001D3941">
          <w:rPr>
            <w:rStyle w:val="a9"/>
            <w:noProof/>
          </w:rPr>
          <w:t xml:space="preserve"> </w:t>
        </w:r>
        <w:r w:rsidRPr="001D3941">
          <w:rPr>
            <w:rStyle w:val="a9"/>
            <w:noProof/>
          </w:rPr>
          <w:t>绿春县总体概况</w:t>
        </w:r>
        <w:r>
          <w:rPr>
            <w:noProof/>
            <w:webHidden/>
          </w:rPr>
          <w:tab/>
        </w:r>
        <w:r>
          <w:rPr>
            <w:noProof/>
            <w:webHidden/>
          </w:rPr>
          <w:fldChar w:fldCharType="begin"/>
        </w:r>
        <w:r>
          <w:rPr>
            <w:noProof/>
            <w:webHidden/>
          </w:rPr>
          <w:instrText xml:space="preserve"> PAGEREF _Toc112915728 \h </w:instrText>
        </w:r>
        <w:r>
          <w:rPr>
            <w:noProof/>
            <w:webHidden/>
          </w:rPr>
        </w:r>
        <w:r>
          <w:rPr>
            <w:noProof/>
            <w:webHidden/>
          </w:rPr>
          <w:fldChar w:fldCharType="separate"/>
        </w:r>
        <w:r>
          <w:rPr>
            <w:noProof/>
            <w:webHidden/>
          </w:rPr>
          <w:t>2</w:t>
        </w:r>
        <w:r>
          <w:rPr>
            <w:noProof/>
            <w:webHidden/>
          </w:rPr>
          <w:fldChar w:fldCharType="end"/>
        </w:r>
      </w:hyperlink>
    </w:p>
    <w:p w14:paraId="2D8D8381" w14:textId="52064228" w:rsidR="00B51EA9" w:rsidRDefault="00B51EA9">
      <w:pPr>
        <w:pStyle w:val="TOC2"/>
        <w:tabs>
          <w:tab w:val="right" w:leader="dot" w:pos="9628"/>
        </w:tabs>
        <w:ind w:firstLine="480"/>
        <w:rPr>
          <w:rFonts w:asciiTheme="minorHAnsi" w:eastAsiaTheme="minorEastAsia" w:hAnsiTheme="minorHAnsi" w:cstheme="minorBidi"/>
          <w:bCs w:val="0"/>
          <w:noProof/>
          <w:sz w:val="21"/>
          <w:szCs w:val="22"/>
        </w:rPr>
      </w:pPr>
      <w:hyperlink w:anchor="_Toc112915729" w:history="1">
        <w:r w:rsidRPr="001D3941">
          <w:rPr>
            <w:rStyle w:val="a9"/>
            <w:noProof/>
          </w:rPr>
          <w:t>第一节</w:t>
        </w:r>
        <w:r w:rsidRPr="001D3941">
          <w:rPr>
            <w:rStyle w:val="a9"/>
            <w:noProof/>
          </w:rPr>
          <w:t xml:space="preserve"> </w:t>
        </w:r>
        <w:r w:rsidRPr="001D3941">
          <w:rPr>
            <w:rStyle w:val="a9"/>
            <w:noProof/>
          </w:rPr>
          <w:t>区位简述</w:t>
        </w:r>
        <w:r>
          <w:rPr>
            <w:noProof/>
            <w:webHidden/>
          </w:rPr>
          <w:tab/>
        </w:r>
        <w:r>
          <w:rPr>
            <w:noProof/>
            <w:webHidden/>
          </w:rPr>
          <w:fldChar w:fldCharType="begin"/>
        </w:r>
        <w:r>
          <w:rPr>
            <w:noProof/>
            <w:webHidden/>
          </w:rPr>
          <w:instrText xml:space="preserve"> PAGEREF _Toc112915729 \h </w:instrText>
        </w:r>
        <w:r>
          <w:rPr>
            <w:noProof/>
            <w:webHidden/>
          </w:rPr>
        </w:r>
        <w:r>
          <w:rPr>
            <w:noProof/>
            <w:webHidden/>
          </w:rPr>
          <w:fldChar w:fldCharType="separate"/>
        </w:r>
        <w:r>
          <w:rPr>
            <w:noProof/>
            <w:webHidden/>
          </w:rPr>
          <w:t>2</w:t>
        </w:r>
        <w:r>
          <w:rPr>
            <w:noProof/>
            <w:webHidden/>
          </w:rPr>
          <w:fldChar w:fldCharType="end"/>
        </w:r>
      </w:hyperlink>
    </w:p>
    <w:p w14:paraId="28FABDFD" w14:textId="05F21FDD" w:rsidR="00B51EA9" w:rsidRDefault="00B51EA9">
      <w:pPr>
        <w:pStyle w:val="TOC2"/>
        <w:tabs>
          <w:tab w:val="right" w:leader="dot" w:pos="9628"/>
        </w:tabs>
        <w:ind w:firstLine="480"/>
        <w:rPr>
          <w:rFonts w:asciiTheme="minorHAnsi" w:eastAsiaTheme="minorEastAsia" w:hAnsiTheme="minorHAnsi" w:cstheme="minorBidi"/>
          <w:bCs w:val="0"/>
          <w:noProof/>
          <w:sz w:val="21"/>
          <w:szCs w:val="22"/>
        </w:rPr>
      </w:pPr>
      <w:hyperlink w:anchor="_Toc112915730" w:history="1">
        <w:r w:rsidRPr="001D3941">
          <w:rPr>
            <w:rStyle w:val="a9"/>
            <w:noProof/>
          </w:rPr>
          <w:t>第二节</w:t>
        </w:r>
        <w:r w:rsidRPr="001D3941">
          <w:rPr>
            <w:rStyle w:val="a9"/>
            <w:noProof/>
          </w:rPr>
          <w:t xml:space="preserve"> </w:t>
        </w:r>
        <w:r w:rsidRPr="001D3941">
          <w:rPr>
            <w:rStyle w:val="a9"/>
            <w:noProof/>
          </w:rPr>
          <w:t>经济发展现状</w:t>
        </w:r>
        <w:r>
          <w:rPr>
            <w:noProof/>
            <w:webHidden/>
          </w:rPr>
          <w:tab/>
        </w:r>
        <w:r>
          <w:rPr>
            <w:noProof/>
            <w:webHidden/>
          </w:rPr>
          <w:fldChar w:fldCharType="begin"/>
        </w:r>
        <w:r>
          <w:rPr>
            <w:noProof/>
            <w:webHidden/>
          </w:rPr>
          <w:instrText xml:space="preserve"> PAGEREF _Toc112915730 \h </w:instrText>
        </w:r>
        <w:r>
          <w:rPr>
            <w:noProof/>
            <w:webHidden/>
          </w:rPr>
        </w:r>
        <w:r>
          <w:rPr>
            <w:noProof/>
            <w:webHidden/>
          </w:rPr>
          <w:fldChar w:fldCharType="separate"/>
        </w:r>
        <w:r>
          <w:rPr>
            <w:noProof/>
            <w:webHidden/>
          </w:rPr>
          <w:t>2</w:t>
        </w:r>
        <w:r>
          <w:rPr>
            <w:noProof/>
            <w:webHidden/>
          </w:rPr>
          <w:fldChar w:fldCharType="end"/>
        </w:r>
      </w:hyperlink>
    </w:p>
    <w:p w14:paraId="36574962" w14:textId="59A6DB4A" w:rsidR="00B51EA9" w:rsidRDefault="00B51EA9">
      <w:pPr>
        <w:pStyle w:val="TOC3"/>
        <w:tabs>
          <w:tab w:val="right" w:leader="dot" w:pos="9628"/>
        </w:tabs>
        <w:ind w:left="840"/>
        <w:rPr>
          <w:rFonts w:asciiTheme="minorHAnsi" w:eastAsiaTheme="minorEastAsia" w:hAnsiTheme="minorHAnsi"/>
          <w:noProof/>
          <w:sz w:val="21"/>
        </w:rPr>
      </w:pPr>
      <w:hyperlink w:anchor="_Toc112915731" w:history="1">
        <w:r w:rsidRPr="001D3941">
          <w:rPr>
            <w:rStyle w:val="a9"/>
            <w:noProof/>
          </w:rPr>
          <w:t>一、农业经济发展现状</w:t>
        </w:r>
        <w:r>
          <w:rPr>
            <w:noProof/>
            <w:webHidden/>
          </w:rPr>
          <w:tab/>
        </w:r>
        <w:r>
          <w:rPr>
            <w:noProof/>
            <w:webHidden/>
          </w:rPr>
          <w:fldChar w:fldCharType="begin"/>
        </w:r>
        <w:r>
          <w:rPr>
            <w:noProof/>
            <w:webHidden/>
          </w:rPr>
          <w:instrText xml:space="preserve"> PAGEREF _Toc112915731 \h </w:instrText>
        </w:r>
        <w:r>
          <w:rPr>
            <w:noProof/>
            <w:webHidden/>
          </w:rPr>
        </w:r>
        <w:r>
          <w:rPr>
            <w:noProof/>
            <w:webHidden/>
          </w:rPr>
          <w:fldChar w:fldCharType="separate"/>
        </w:r>
        <w:r>
          <w:rPr>
            <w:noProof/>
            <w:webHidden/>
          </w:rPr>
          <w:t>2</w:t>
        </w:r>
        <w:r>
          <w:rPr>
            <w:noProof/>
            <w:webHidden/>
          </w:rPr>
          <w:fldChar w:fldCharType="end"/>
        </w:r>
      </w:hyperlink>
    </w:p>
    <w:p w14:paraId="4DA71077" w14:textId="46C62E71" w:rsidR="00B51EA9" w:rsidRDefault="00B51EA9">
      <w:pPr>
        <w:pStyle w:val="TOC3"/>
        <w:tabs>
          <w:tab w:val="right" w:leader="dot" w:pos="9628"/>
        </w:tabs>
        <w:ind w:left="840"/>
        <w:rPr>
          <w:rFonts w:asciiTheme="minorHAnsi" w:eastAsiaTheme="minorEastAsia" w:hAnsiTheme="minorHAnsi"/>
          <w:noProof/>
          <w:sz w:val="21"/>
        </w:rPr>
      </w:pPr>
      <w:hyperlink w:anchor="_Toc112915732" w:history="1">
        <w:r w:rsidRPr="001D3941">
          <w:rPr>
            <w:rStyle w:val="a9"/>
            <w:noProof/>
          </w:rPr>
          <w:t>二、工业经济及固定资产投资发展现状</w:t>
        </w:r>
        <w:r>
          <w:rPr>
            <w:noProof/>
            <w:webHidden/>
          </w:rPr>
          <w:tab/>
        </w:r>
        <w:r>
          <w:rPr>
            <w:noProof/>
            <w:webHidden/>
          </w:rPr>
          <w:fldChar w:fldCharType="begin"/>
        </w:r>
        <w:r>
          <w:rPr>
            <w:noProof/>
            <w:webHidden/>
          </w:rPr>
          <w:instrText xml:space="preserve"> PAGEREF _Toc112915732 \h </w:instrText>
        </w:r>
        <w:r>
          <w:rPr>
            <w:noProof/>
            <w:webHidden/>
          </w:rPr>
        </w:r>
        <w:r>
          <w:rPr>
            <w:noProof/>
            <w:webHidden/>
          </w:rPr>
          <w:fldChar w:fldCharType="separate"/>
        </w:r>
        <w:r>
          <w:rPr>
            <w:noProof/>
            <w:webHidden/>
          </w:rPr>
          <w:t>4</w:t>
        </w:r>
        <w:r>
          <w:rPr>
            <w:noProof/>
            <w:webHidden/>
          </w:rPr>
          <w:fldChar w:fldCharType="end"/>
        </w:r>
      </w:hyperlink>
    </w:p>
    <w:p w14:paraId="1D2F733C" w14:textId="23B039E4" w:rsidR="00B51EA9" w:rsidRDefault="00B51EA9">
      <w:pPr>
        <w:pStyle w:val="TOC3"/>
        <w:tabs>
          <w:tab w:val="right" w:leader="dot" w:pos="9628"/>
        </w:tabs>
        <w:ind w:left="840"/>
        <w:rPr>
          <w:rFonts w:asciiTheme="minorHAnsi" w:eastAsiaTheme="minorEastAsia" w:hAnsiTheme="minorHAnsi"/>
          <w:noProof/>
          <w:sz w:val="21"/>
        </w:rPr>
      </w:pPr>
      <w:hyperlink w:anchor="_Toc112915733" w:history="1">
        <w:r w:rsidRPr="001D3941">
          <w:rPr>
            <w:rStyle w:val="a9"/>
            <w:noProof/>
          </w:rPr>
          <w:t>三、服务及贸易行业发展现状</w:t>
        </w:r>
        <w:r>
          <w:rPr>
            <w:noProof/>
            <w:webHidden/>
          </w:rPr>
          <w:tab/>
        </w:r>
        <w:r>
          <w:rPr>
            <w:noProof/>
            <w:webHidden/>
          </w:rPr>
          <w:fldChar w:fldCharType="begin"/>
        </w:r>
        <w:r>
          <w:rPr>
            <w:noProof/>
            <w:webHidden/>
          </w:rPr>
          <w:instrText xml:space="preserve"> PAGEREF _Toc112915733 \h </w:instrText>
        </w:r>
        <w:r>
          <w:rPr>
            <w:noProof/>
            <w:webHidden/>
          </w:rPr>
        </w:r>
        <w:r>
          <w:rPr>
            <w:noProof/>
            <w:webHidden/>
          </w:rPr>
          <w:fldChar w:fldCharType="separate"/>
        </w:r>
        <w:r>
          <w:rPr>
            <w:noProof/>
            <w:webHidden/>
          </w:rPr>
          <w:t>4</w:t>
        </w:r>
        <w:r>
          <w:rPr>
            <w:noProof/>
            <w:webHidden/>
          </w:rPr>
          <w:fldChar w:fldCharType="end"/>
        </w:r>
      </w:hyperlink>
    </w:p>
    <w:p w14:paraId="40647BA5" w14:textId="40A151D7" w:rsidR="00B51EA9" w:rsidRDefault="00B51EA9">
      <w:pPr>
        <w:pStyle w:val="TOC3"/>
        <w:tabs>
          <w:tab w:val="right" w:leader="dot" w:pos="9628"/>
        </w:tabs>
        <w:ind w:left="840"/>
        <w:rPr>
          <w:rFonts w:asciiTheme="minorHAnsi" w:eastAsiaTheme="minorEastAsia" w:hAnsiTheme="minorHAnsi"/>
          <w:noProof/>
          <w:sz w:val="21"/>
        </w:rPr>
      </w:pPr>
      <w:hyperlink w:anchor="_Toc112915734" w:history="1">
        <w:r w:rsidRPr="001D3941">
          <w:rPr>
            <w:rStyle w:val="a9"/>
            <w:noProof/>
          </w:rPr>
          <w:t>四、文教卫体行业发展现状</w:t>
        </w:r>
        <w:r>
          <w:rPr>
            <w:noProof/>
            <w:webHidden/>
          </w:rPr>
          <w:tab/>
        </w:r>
        <w:r>
          <w:rPr>
            <w:noProof/>
            <w:webHidden/>
          </w:rPr>
          <w:fldChar w:fldCharType="begin"/>
        </w:r>
        <w:r>
          <w:rPr>
            <w:noProof/>
            <w:webHidden/>
          </w:rPr>
          <w:instrText xml:space="preserve"> PAGEREF _Toc112915734 \h </w:instrText>
        </w:r>
        <w:r>
          <w:rPr>
            <w:noProof/>
            <w:webHidden/>
          </w:rPr>
        </w:r>
        <w:r>
          <w:rPr>
            <w:noProof/>
            <w:webHidden/>
          </w:rPr>
          <w:fldChar w:fldCharType="separate"/>
        </w:r>
        <w:r>
          <w:rPr>
            <w:noProof/>
            <w:webHidden/>
          </w:rPr>
          <w:t>5</w:t>
        </w:r>
        <w:r>
          <w:rPr>
            <w:noProof/>
            <w:webHidden/>
          </w:rPr>
          <w:fldChar w:fldCharType="end"/>
        </w:r>
      </w:hyperlink>
    </w:p>
    <w:p w14:paraId="69E84148" w14:textId="0B080B78" w:rsidR="00B51EA9" w:rsidRDefault="00B51EA9">
      <w:pPr>
        <w:pStyle w:val="TOC1"/>
        <w:rPr>
          <w:rFonts w:asciiTheme="minorHAnsi" w:eastAsiaTheme="minorEastAsia" w:hAnsiTheme="minorHAnsi" w:cstheme="minorBidi"/>
          <w:bCs w:val="0"/>
          <w:noProof/>
          <w:sz w:val="21"/>
          <w:szCs w:val="22"/>
          <w:lang w:val="en-US"/>
        </w:rPr>
      </w:pPr>
      <w:hyperlink w:anchor="_Toc112915735" w:history="1">
        <w:r w:rsidRPr="001D3941">
          <w:rPr>
            <w:rStyle w:val="a9"/>
            <w:noProof/>
          </w:rPr>
          <w:t>第二章</w:t>
        </w:r>
        <w:r w:rsidRPr="001D3941">
          <w:rPr>
            <w:rStyle w:val="a9"/>
            <w:noProof/>
          </w:rPr>
          <w:t xml:space="preserve"> </w:t>
        </w:r>
        <w:r w:rsidRPr="001D3941">
          <w:rPr>
            <w:rStyle w:val="a9"/>
            <w:noProof/>
          </w:rPr>
          <w:t>绿春县重点行业领域发展存在的问题</w:t>
        </w:r>
        <w:r>
          <w:rPr>
            <w:noProof/>
            <w:webHidden/>
          </w:rPr>
          <w:tab/>
        </w:r>
        <w:r>
          <w:rPr>
            <w:noProof/>
            <w:webHidden/>
          </w:rPr>
          <w:fldChar w:fldCharType="begin"/>
        </w:r>
        <w:r>
          <w:rPr>
            <w:noProof/>
            <w:webHidden/>
          </w:rPr>
          <w:instrText xml:space="preserve"> PAGEREF _Toc112915735 \h </w:instrText>
        </w:r>
        <w:r>
          <w:rPr>
            <w:noProof/>
            <w:webHidden/>
          </w:rPr>
        </w:r>
        <w:r>
          <w:rPr>
            <w:noProof/>
            <w:webHidden/>
          </w:rPr>
          <w:fldChar w:fldCharType="separate"/>
        </w:r>
        <w:r>
          <w:rPr>
            <w:noProof/>
            <w:webHidden/>
          </w:rPr>
          <w:t>6</w:t>
        </w:r>
        <w:r>
          <w:rPr>
            <w:noProof/>
            <w:webHidden/>
          </w:rPr>
          <w:fldChar w:fldCharType="end"/>
        </w:r>
      </w:hyperlink>
    </w:p>
    <w:p w14:paraId="0E1D46EB" w14:textId="0BF26556" w:rsidR="00B51EA9" w:rsidRDefault="00B51EA9">
      <w:pPr>
        <w:pStyle w:val="TOC2"/>
        <w:tabs>
          <w:tab w:val="right" w:leader="dot" w:pos="9628"/>
        </w:tabs>
        <w:ind w:firstLine="480"/>
        <w:rPr>
          <w:rFonts w:asciiTheme="minorHAnsi" w:eastAsiaTheme="minorEastAsia" w:hAnsiTheme="minorHAnsi" w:cstheme="minorBidi"/>
          <w:bCs w:val="0"/>
          <w:noProof/>
          <w:sz w:val="21"/>
          <w:szCs w:val="22"/>
        </w:rPr>
      </w:pPr>
      <w:hyperlink w:anchor="_Toc112915736" w:history="1">
        <w:r w:rsidRPr="001D3941">
          <w:rPr>
            <w:rStyle w:val="a9"/>
            <w:noProof/>
          </w:rPr>
          <w:t>第一节</w:t>
        </w:r>
        <w:r w:rsidRPr="001D3941">
          <w:rPr>
            <w:rStyle w:val="a9"/>
            <w:noProof/>
          </w:rPr>
          <w:t xml:space="preserve"> “</w:t>
        </w:r>
        <w:r w:rsidRPr="001D3941">
          <w:rPr>
            <w:rStyle w:val="a9"/>
            <w:noProof/>
          </w:rPr>
          <w:t>一县一业</w:t>
        </w:r>
        <w:r w:rsidRPr="001D3941">
          <w:rPr>
            <w:rStyle w:val="a9"/>
            <w:noProof/>
          </w:rPr>
          <w:t>”</w:t>
        </w:r>
        <w:r w:rsidRPr="001D3941">
          <w:rPr>
            <w:rStyle w:val="a9"/>
            <w:noProof/>
          </w:rPr>
          <w:t>仍在路上</w:t>
        </w:r>
        <w:r w:rsidRPr="001D3941">
          <w:rPr>
            <w:rStyle w:val="a9"/>
            <w:noProof/>
          </w:rPr>
          <w:t>——</w:t>
        </w:r>
        <w:r w:rsidRPr="001D3941">
          <w:rPr>
            <w:rStyle w:val="a9"/>
            <w:noProof/>
          </w:rPr>
          <w:t>绿春茶叶行业发展瓶颈</w:t>
        </w:r>
        <w:r>
          <w:rPr>
            <w:noProof/>
            <w:webHidden/>
          </w:rPr>
          <w:tab/>
        </w:r>
        <w:r>
          <w:rPr>
            <w:noProof/>
            <w:webHidden/>
          </w:rPr>
          <w:fldChar w:fldCharType="begin"/>
        </w:r>
        <w:r>
          <w:rPr>
            <w:noProof/>
            <w:webHidden/>
          </w:rPr>
          <w:instrText xml:space="preserve"> PAGEREF _Toc112915736 \h </w:instrText>
        </w:r>
        <w:r>
          <w:rPr>
            <w:noProof/>
            <w:webHidden/>
          </w:rPr>
        </w:r>
        <w:r>
          <w:rPr>
            <w:noProof/>
            <w:webHidden/>
          </w:rPr>
          <w:fldChar w:fldCharType="separate"/>
        </w:r>
        <w:r>
          <w:rPr>
            <w:noProof/>
            <w:webHidden/>
          </w:rPr>
          <w:t>6</w:t>
        </w:r>
        <w:r>
          <w:rPr>
            <w:noProof/>
            <w:webHidden/>
          </w:rPr>
          <w:fldChar w:fldCharType="end"/>
        </w:r>
      </w:hyperlink>
    </w:p>
    <w:p w14:paraId="14365E18" w14:textId="787C3A17" w:rsidR="00B51EA9" w:rsidRDefault="00B51EA9">
      <w:pPr>
        <w:pStyle w:val="TOC2"/>
        <w:tabs>
          <w:tab w:val="right" w:leader="dot" w:pos="9628"/>
        </w:tabs>
        <w:ind w:firstLine="480"/>
        <w:rPr>
          <w:rFonts w:asciiTheme="minorHAnsi" w:eastAsiaTheme="minorEastAsia" w:hAnsiTheme="minorHAnsi" w:cstheme="minorBidi"/>
          <w:bCs w:val="0"/>
          <w:noProof/>
          <w:sz w:val="21"/>
          <w:szCs w:val="22"/>
        </w:rPr>
      </w:pPr>
      <w:hyperlink w:anchor="_Toc112915737" w:history="1">
        <w:r w:rsidRPr="001D3941">
          <w:rPr>
            <w:rStyle w:val="a9"/>
            <w:noProof/>
          </w:rPr>
          <w:t>第二节</w:t>
        </w:r>
        <w:r w:rsidRPr="001D3941">
          <w:rPr>
            <w:rStyle w:val="a9"/>
            <w:noProof/>
          </w:rPr>
          <w:t xml:space="preserve"> </w:t>
        </w:r>
        <w:r w:rsidRPr="001D3941">
          <w:rPr>
            <w:rStyle w:val="a9"/>
            <w:noProof/>
          </w:rPr>
          <w:t>工业经济发展缓慢</w:t>
        </w:r>
        <w:r>
          <w:rPr>
            <w:noProof/>
            <w:webHidden/>
          </w:rPr>
          <w:tab/>
        </w:r>
        <w:r>
          <w:rPr>
            <w:noProof/>
            <w:webHidden/>
          </w:rPr>
          <w:fldChar w:fldCharType="begin"/>
        </w:r>
        <w:r>
          <w:rPr>
            <w:noProof/>
            <w:webHidden/>
          </w:rPr>
          <w:instrText xml:space="preserve"> PAGEREF _Toc112915737 \h </w:instrText>
        </w:r>
        <w:r>
          <w:rPr>
            <w:noProof/>
            <w:webHidden/>
          </w:rPr>
        </w:r>
        <w:r>
          <w:rPr>
            <w:noProof/>
            <w:webHidden/>
          </w:rPr>
          <w:fldChar w:fldCharType="separate"/>
        </w:r>
        <w:r>
          <w:rPr>
            <w:noProof/>
            <w:webHidden/>
          </w:rPr>
          <w:t>6</w:t>
        </w:r>
        <w:r>
          <w:rPr>
            <w:noProof/>
            <w:webHidden/>
          </w:rPr>
          <w:fldChar w:fldCharType="end"/>
        </w:r>
      </w:hyperlink>
    </w:p>
    <w:p w14:paraId="04C48574" w14:textId="105DD1D3" w:rsidR="00B51EA9" w:rsidRDefault="00B51EA9">
      <w:pPr>
        <w:pStyle w:val="TOC2"/>
        <w:tabs>
          <w:tab w:val="right" w:leader="dot" w:pos="9628"/>
        </w:tabs>
        <w:ind w:firstLine="480"/>
        <w:rPr>
          <w:rFonts w:asciiTheme="minorHAnsi" w:eastAsiaTheme="minorEastAsia" w:hAnsiTheme="minorHAnsi" w:cstheme="minorBidi"/>
          <w:bCs w:val="0"/>
          <w:noProof/>
          <w:sz w:val="21"/>
          <w:szCs w:val="22"/>
        </w:rPr>
      </w:pPr>
      <w:hyperlink w:anchor="_Toc112915738" w:history="1">
        <w:r w:rsidRPr="001D3941">
          <w:rPr>
            <w:rStyle w:val="a9"/>
            <w:noProof/>
          </w:rPr>
          <w:t>第三节</w:t>
        </w:r>
        <w:r w:rsidRPr="001D3941">
          <w:rPr>
            <w:rStyle w:val="a9"/>
            <w:noProof/>
          </w:rPr>
          <w:t xml:space="preserve"> </w:t>
        </w:r>
        <w:r w:rsidRPr="001D3941">
          <w:rPr>
            <w:rStyle w:val="a9"/>
            <w:noProof/>
          </w:rPr>
          <w:t>教育环境急需改善</w:t>
        </w:r>
        <w:r>
          <w:rPr>
            <w:noProof/>
            <w:webHidden/>
          </w:rPr>
          <w:tab/>
        </w:r>
        <w:r>
          <w:rPr>
            <w:noProof/>
            <w:webHidden/>
          </w:rPr>
          <w:fldChar w:fldCharType="begin"/>
        </w:r>
        <w:r>
          <w:rPr>
            <w:noProof/>
            <w:webHidden/>
          </w:rPr>
          <w:instrText xml:space="preserve"> PAGEREF _Toc112915738 \h </w:instrText>
        </w:r>
        <w:r>
          <w:rPr>
            <w:noProof/>
            <w:webHidden/>
          </w:rPr>
        </w:r>
        <w:r>
          <w:rPr>
            <w:noProof/>
            <w:webHidden/>
          </w:rPr>
          <w:fldChar w:fldCharType="separate"/>
        </w:r>
        <w:r>
          <w:rPr>
            <w:noProof/>
            <w:webHidden/>
          </w:rPr>
          <w:t>7</w:t>
        </w:r>
        <w:r>
          <w:rPr>
            <w:noProof/>
            <w:webHidden/>
          </w:rPr>
          <w:fldChar w:fldCharType="end"/>
        </w:r>
      </w:hyperlink>
    </w:p>
    <w:p w14:paraId="0240789A" w14:textId="23B5DB16" w:rsidR="00B51EA9" w:rsidRDefault="00B51EA9">
      <w:pPr>
        <w:pStyle w:val="TOC2"/>
        <w:tabs>
          <w:tab w:val="right" w:leader="dot" w:pos="9628"/>
        </w:tabs>
        <w:ind w:firstLine="480"/>
        <w:rPr>
          <w:rFonts w:asciiTheme="minorHAnsi" w:eastAsiaTheme="minorEastAsia" w:hAnsiTheme="minorHAnsi" w:cstheme="minorBidi"/>
          <w:bCs w:val="0"/>
          <w:noProof/>
          <w:sz w:val="21"/>
          <w:szCs w:val="22"/>
        </w:rPr>
      </w:pPr>
      <w:hyperlink w:anchor="_Toc112915739" w:history="1">
        <w:r w:rsidRPr="001D3941">
          <w:rPr>
            <w:rStyle w:val="a9"/>
            <w:noProof/>
          </w:rPr>
          <w:t>第四节</w:t>
        </w:r>
        <w:r w:rsidRPr="001D3941">
          <w:rPr>
            <w:rStyle w:val="a9"/>
            <w:noProof/>
          </w:rPr>
          <w:t xml:space="preserve"> </w:t>
        </w:r>
        <w:r w:rsidRPr="001D3941">
          <w:rPr>
            <w:rStyle w:val="a9"/>
            <w:noProof/>
          </w:rPr>
          <w:t>交通道路不畅阻碍经济发展</w:t>
        </w:r>
        <w:r>
          <w:rPr>
            <w:noProof/>
            <w:webHidden/>
          </w:rPr>
          <w:tab/>
        </w:r>
        <w:r>
          <w:rPr>
            <w:noProof/>
            <w:webHidden/>
          </w:rPr>
          <w:fldChar w:fldCharType="begin"/>
        </w:r>
        <w:r>
          <w:rPr>
            <w:noProof/>
            <w:webHidden/>
          </w:rPr>
          <w:instrText xml:space="preserve"> PAGEREF _Toc112915739 \h </w:instrText>
        </w:r>
        <w:r>
          <w:rPr>
            <w:noProof/>
            <w:webHidden/>
          </w:rPr>
        </w:r>
        <w:r>
          <w:rPr>
            <w:noProof/>
            <w:webHidden/>
          </w:rPr>
          <w:fldChar w:fldCharType="separate"/>
        </w:r>
        <w:r>
          <w:rPr>
            <w:noProof/>
            <w:webHidden/>
          </w:rPr>
          <w:t>7</w:t>
        </w:r>
        <w:r>
          <w:rPr>
            <w:noProof/>
            <w:webHidden/>
          </w:rPr>
          <w:fldChar w:fldCharType="end"/>
        </w:r>
      </w:hyperlink>
    </w:p>
    <w:p w14:paraId="7E5F6E07" w14:textId="5D9BC77F" w:rsidR="00B51EA9" w:rsidRDefault="00B51EA9">
      <w:pPr>
        <w:pStyle w:val="TOC1"/>
        <w:rPr>
          <w:rFonts w:asciiTheme="minorHAnsi" w:eastAsiaTheme="minorEastAsia" w:hAnsiTheme="minorHAnsi" w:cstheme="minorBidi"/>
          <w:bCs w:val="0"/>
          <w:noProof/>
          <w:sz w:val="21"/>
          <w:szCs w:val="22"/>
          <w:lang w:val="en-US"/>
        </w:rPr>
      </w:pPr>
      <w:hyperlink w:anchor="_Toc112915740" w:history="1">
        <w:r w:rsidRPr="001D3941">
          <w:rPr>
            <w:rStyle w:val="a9"/>
            <w:noProof/>
          </w:rPr>
          <w:t>第三章</w:t>
        </w:r>
        <w:r w:rsidRPr="001D3941">
          <w:rPr>
            <w:rStyle w:val="a9"/>
            <w:noProof/>
          </w:rPr>
          <w:t xml:space="preserve"> </w:t>
        </w:r>
        <w:r w:rsidRPr="001D3941">
          <w:rPr>
            <w:rStyle w:val="a9"/>
            <w:noProof/>
          </w:rPr>
          <w:t>证券业助力乡村振兴</w:t>
        </w:r>
        <w:r w:rsidRPr="001D3941">
          <w:rPr>
            <w:rStyle w:val="a9"/>
            <w:noProof/>
          </w:rPr>
          <w:t>——</w:t>
        </w:r>
        <w:r w:rsidRPr="001D3941">
          <w:rPr>
            <w:rStyle w:val="a9"/>
            <w:noProof/>
          </w:rPr>
          <w:t>现有模式</w:t>
        </w:r>
        <w:r>
          <w:rPr>
            <w:noProof/>
            <w:webHidden/>
          </w:rPr>
          <w:tab/>
        </w:r>
        <w:r>
          <w:rPr>
            <w:noProof/>
            <w:webHidden/>
          </w:rPr>
          <w:fldChar w:fldCharType="begin"/>
        </w:r>
        <w:r>
          <w:rPr>
            <w:noProof/>
            <w:webHidden/>
          </w:rPr>
          <w:instrText xml:space="preserve"> PAGEREF _Toc112915740 \h </w:instrText>
        </w:r>
        <w:r>
          <w:rPr>
            <w:noProof/>
            <w:webHidden/>
          </w:rPr>
        </w:r>
        <w:r>
          <w:rPr>
            <w:noProof/>
            <w:webHidden/>
          </w:rPr>
          <w:fldChar w:fldCharType="separate"/>
        </w:r>
        <w:r>
          <w:rPr>
            <w:noProof/>
            <w:webHidden/>
          </w:rPr>
          <w:t>9</w:t>
        </w:r>
        <w:r>
          <w:rPr>
            <w:noProof/>
            <w:webHidden/>
          </w:rPr>
          <w:fldChar w:fldCharType="end"/>
        </w:r>
      </w:hyperlink>
    </w:p>
    <w:p w14:paraId="2E0D0AB1" w14:textId="33E6C9AB" w:rsidR="00B51EA9" w:rsidRDefault="00B51EA9">
      <w:pPr>
        <w:pStyle w:val="TOC2"/>
        <w:tabs>
          <w:tab w:val="right" w:leader="dot" w:pos="9628"/>
        </w:tabs>
        <w:ind w:firstLine="480"/>
        <w:rPr>
          <w:rFonts w:asciiTheme="minorHAnsi" w:eastAsiaTheme="minorEastAsia" w:hAnsiTheme="minorHAnsi" w:cstheme="minorBidi"/>
          <w:bCs w:val="0"/>
          <w:noProof/>
          <w:sz w:val="21"/>
          <w:szCs w:val="22"/>
        </w:rPr>
      </w:pPr>
      <w:hyperlink w:anchor="_Toc112915741" w:history="1">
        <w:r w:rsidRPr="001D3941">
          <w:rPr>
            <w:rStyle w:val="a9"/>
            <w:noProof/>
          </w:rPr>
          <w:t>第一节</w:t>
        </w:r>
        <w:r w:rsidRPr="001D3941">
          <w:rPr>
            <w:rStyle w:val="a9"/>
            <w:noProof/>
          </w:rPr>
          <w:t xml:space="preserve"> </w:t>
        </w:r>
        <w:r w:rsidRPr="001D3941">
          <w:rPr>
            <w:rStyle w:val="a9"/>
            <w:noProof/>
          </w:rPr>
          <w:t>股权融资为乡镇企业拓宽直接融资渠道</w:t>
        </w:r>
        <w:r>
          <w:rPr>
            <w:noProof/>
            <w:webHidden/>
          </w:rPr>
          <w:tab/>
        </w:r>
        <w:r>
          <w:rPr>
            <w:noProof/>
            <w:webHidden/>
          </w:rPr>
          <w:fldChar w:fldCharType="begin"/>
        </w:r>
        <w:r>
          <w:rPr>
            <w:noProof/>
            <w:webHidden/>
          </w:rPr>
          <w:instrText xml:space="preserve"> PAGEREF _Toc112915741 \h </w:instrText>
        </w:r>
        <w:r>
          <w:rPr>
            <w:noProof/>
            <w:webHidden/>
          </w:rPr>
        </w:r>
        <w:r>
          <w:rPr>
            <w:noProof/>
            <w:webHidden/>
          </w:rPr>
          <w:fldChar w:fldCharType="separate"/>
        </w:r>
        <w:r>
          <w:rPr>
            <w:noProof/>
            <w:webHidden/>
          </w:rPr>
          <w:t>9</w:t>
        </w:r>
        <w:r>
          <w:rPr>
            <w:noProof/>
            <w:webHidden/>
          </w:rPr>
          <w:fldChar w:fldCharType="end"/>
        </w:r>
      </w:hyperlink>
    </w:p>
    <w:p w14:paraId="455FF45A" w14:textId="26CF1331" w:rsidR="00B51EA9" w:rsidRDefault="00B51EA9">
      <w:pPr>
        <w:pStyle w:val="TOC2"/>
        <w:tabs>
          <w:tab w:val="right" w:leader="dot" w:pos="9628"/>
        </w:tabs>
        <w:ind w:firstLine="480"/>
        <w:rPr>
          <w:rFonts w:asciiTheme="minorHAnsi" w:eastAsiaTheme="minorEastAsia" w:hAnsiTheme="minorHAnsi" w:cstheme="minorBidi"/>
          <w:bCs w:val="0"/>
          <w:noProof/>
          <w:sz w:val="21"/>
          <w:szCs w:val="22"/>
        </w:rPr>
      </w:pPr>
      <w:hyperlink w:anchor="_Toc112915742" w:history="1">
        <w:r w:rsidRPr="001D3941">
          <w:rPr>
            <w:rStyle w:val="a9"/>
            <w:noProof/>
          </w:rPr>
          <w:t>第二节</w:t>
        </w:r>
        <w:r w:rsidRPr="001D3941">
          <w:rPr>
            <w:rStyle w:val="a9"/>
            <w:noProof/>
          </w:rPr>
          <w:t xml:space="preserve"> </w:t>
        </w:r>
        <w:r w:rsidRPr="001D3941">
          <w:rPr>
            <w:rStyle w:val="a9"/>
            <w:noProof/>
          </w:rPr>
          <w:t>债券融资仍是乡村振兴直接融资的主要力量</w:t>
        </w:r>
        <w:r>
          <w:rPr>
            <w:noProof/>
            <w:webHidden/>
          </w:rPr>
          <w:tab/>
        </w:r>
        <w:r>
          <w:rPr>
            <w:noProof/>
            <w:webHidden/>
          </w:rPr>
          <w:fldChar w:fldCharType="begin"/>
        </w:r>
        <w:r>
          <w:rPr>
            <w:noProof/>
            <w:webHidden/>
          </w:rPr>
          <w:instrText xml:space="preserve"> PAGEREF _Toc112915742 \h </w:instrText>
        </w:r>
        <w:r>
          <w:rPr>
            <w:noProof/>
            <w:webHidden/>
          </w:rPr>
        </w:r>
        <w:r>
          <w:rPr>
            <w:noProof/>
            <w:webHidden/>
          </w:rPr>
          <w:fldChar w:fldCharType="separate"/>
        </w:r>
        <w:r>
          <w:rPr>
            <w:noProof/>
            <w:webHidden/>
          </w:rPr>
          <w:t>10</w:t>
        </w:r>
        <w:r>
          <w:rPr>
            <w:noProof/>
            <w:webHidden/>
          </w:rPr>
          <w:fldChar w:fldCharType="end"/>
        </w:r>
      </w:hyperlink>
    </w:p>
    <w:p w14:paraId="0D2E088D" w14:textId="1E37C563" w:rsidR="00B51EA9" w:rsidRDefault="00B51EA9">
      <w:pPr>
        <w:pStyle w:val="TOC2"/>
        <w:tabs>
          <w:tab w:val="right" w:leader="dot" w:pos="9628"/>
        </w:tabs>
        <w:ind w:firstLine="480"/>
        <w:rPr>
          <w:rFonts w:asciiTheme="minorHAnsi" w:eastAsiaTheme="minorEastAsia" w:hAnsiTheme="minorHAnsi" w:cstheme="minorBidi"/>
          <w:bCs w:val="0"/>
          <w:noProof/>
          <w:sz w:val="21"/>
          <w:szCs w:val="22"/>
        </w:rPr>
      </w:pPr>
      <w:hyperlink w:anchor="_Toc112915743" w:history="1">
        <w:r w:rsidRPr="001D3941">
          <w:rPr>
            <w:rStyle w:val="a9"/>
            <w:noProof/>
          </w:rPr>
          <w:t>第三节</w:t>
        </w:r>
        <w:r w:rsidRPr="001D3941">
          <w:rPr>
            <w:rStyle w:val="a9"/>
            <w:noProof/>
          </w:rPr>
          <w:t xml:space="preserve"> </w:t>
        </w:r>
        <w:r w:rsidRPr="001D3941">
          <w:rPr>
            <w:rStyle w:val="a9"/>
            <w:noProof/>
          </w:rPr>
          <w:t>相关资产证券化产品辅助振兴乡村经济</w:t>
        </w:r>
        <w:r>
          <w:rPr>
            <w:noProof/>
            <w:webHidden/>
          </w:rPr>
          <w:tab/>
        </w:r>
        <w:r>
          <w:rPr>
            <w:noProof/>
            <w:webHidden/>
          </w:rPr>
          <w:fldChar w:fldCharType="begin"/>
        </w:r>
        <w:r>
          <w:rPr>
            <w:noProof/>
            <w:webHidden/>
          </w:rPr>
          <w:instrText xml:space="preserve"> PAGEREF _Toc112915743 \h </w:instrText>
        </w:r>
        <w:r>
          <w:rPr>
            <w:noProof/>
            <w:webHidden/>
          </w:rPr>
        </w:r>
        <w:r>
          <w:rPr>
            <w:noProof/>
            <w:webHidden/>
          </w:rPr>
          <w:fldChar w:fldCharType="separate"/>
        </w:r>
        <w:r>
          <w:rPr>
            <w:noProof/>
            <w:webHidden/>
          </w:rPr>
          <w:t>10</w:t>
        </w:r>
        <w:r>
          <w:rPr>
            <w:noProof/>
            <w:webHidden/>
          </w:rPr>
          <w:fldChar w:fldCharType="end"/>
        </w:r>
      </w:hyperlink>
    </w:p>
    <w:p w14:paraId="3A0AB342" w14:textId="7B1443C4" w:rsidR="00B51EA9" w:rsidRDefault="00B51EA9">
      <w:pPr>
        <w:pStyle w:val="TOC2"/>
        <w:tabs>
          <w:tab w:val="right" w:leader="dot" w:pos="9628"/>
        </w:tabs>
        <w:ind w:firstLine="480"/>
        <w:rPr>
          <w:rFonts w:asciiTheme="minorHAnsi" w:eastAsiaTheme="minorEastAsia" w:hAnsiTheme="minorHAnsi" w:cstheme="minorBidi"/>
          <w:bCs w:val="0"/>
          <w:noProof/>
          <w:sz w:val="21"/>
          <w:szCs w:val="22"/>
        </w:rPr>
      </w:pPr>
      <w:hyperlink w:anchor="_Toc112915744" w:history="1">
        <w:r w:rsidRPr="001D3941">
          <w:rPr>
            <w:rStyle w:val="a9"/>
            <w:noProof/>
          </w:rPr>
          <w:t>第四节</w:t>
        </w:r>
        <w:r w:rsidRPr="001D3941">
          <w:rPr>
            <w:rStyle w:val="a9"/>
            <w:noProof/>
          </w:rPr>
          <w:t xml:space="preserve"> </w:t>
        </w:r>
        <w:r w:rsidRPr="001D3941">
          <w:rPr>
            <w:rStyle w:val="a9"/>
            <w:noProof/>
          </w:rPr>
          <w:t>证券业助力地方产业发展，推进乡村振兴</w:t>
        </w:r>
        <w:r>
          <w:rPr>
            <w:noProof/>
            <w:webHidden/>
          </w:rPr>
          <w:tab/>
        </w:r>
        <w:r>
          <w:rPr>
            <w:noProof/>
            <w:webHidden/>
          </w:rPr>
          <w:fldChar w:fldCharType="begin"/>
        </w:r>
        <w:r>
          <w:rPr>
            <w:noProof/>
            <w:webHidden/>
          </w:rPr>
          <w:instrText xml:space="preserve"> PAGEREF _Toc112915744 \h </w:instrText>
        </w:r>
        <w:r>
          <w:rPr>
            <w:noProof/>
            <w:webHidden/>
          </w:rPr>
        </w:r>
        <w:r>
          <w:rPr>
            <w:noProof/>
            <w:webHidden/>
          </w:rPr>
          <w:fldChar w:fldCharType="separate"/>
        </w:r>
        <w:r>
          <w:rPr>
            <w:noProof/>
            <w:webHidden/>
          </w:rPr>
          <w:t>10</w:t>
        </w:r>
        <w:r>
          <w:rPr>
            <w:noProof/>
            <w:webHidden/>
          </w:rPr>
          <w:fldChar w:fldCharType="end"/>
        </w:r>
      </w:hyperlink>
    </w:p>
    <w:p w14:paraId="478BC0FE" w14:textId="5EBB624C" w:rsidR="00B51EA9" w:rsidRDefault="00B51EA9">
      <w:pPr>
        <w:pStyle w:val="TOC2"/>
        <w:tabs>
          <w:tab w:val="right" w:leader="dot" w:pos="9628"/>
        </w:tabs>
        <w:ind w:firstLine="480"/>
        <w:rPr>
          <w:rFonts w:asciiTheme="minorHAnsi" w:eastAsiaTheme="minorEastAsia" w:hAnsiTheme="minorHAnsi" w:cstheme="minorBidi"/>
          <w:bCs w:val="0"/>
          <w:noProof/>
          <w:sz w:val="21"/>
          <w:szCs w:val="22"/>
        </w:rPr>
      </w:pPr>
      <w:hyperlink w:anchor="_Toc112915745" w:history="1">
        <w:r w:rsidRPr="001D3941">
          <w:rPr>
            <w:rStyle w:val="a9"/>
            <w:noProof/>
          </w:rPr>
          <w:t>第五节</w:t>
        </w:r>
        <w:r w:rsidRPr="001D3941">
          <w:rPr>
            <w:rStyle w:val="a9"/>
            <w:noProof/>
          </w:rPr>
          <w:t xml:space="preserve"> </w:t>
        </w:r>
        <w:r w:rsidRPr="001D3941">
          <w:rPr>
            <w:rStyle w:val="a9"/>
            <w:noProof/>
          </w:rPr>
          <w:t>教育兴邦，证券业帮扶乡村实现教育振兴</w:t>
        </w:r>
        <w:r>
          <w:rPr>
            <w:noProof/>
            <w:webHidden/>
          </w:rPr>
          <w:tab/>
        </w:r>
        <w:r>
          <w:rPr>
            <w:noProof/>
            <w:webHidden/>
          </w:rPr>
          <w:fldChar w:fldCharType="begin"/>
        </w:r>
        <w:r>
          <w:rPr>
            <w:noProof/>
            <w:webHidden/>
          </w:rPr>
          <w:instrText xml:space="preserve"> PAGEREF _Toc112915745 \h </w:instrText>
        </w:r>
        <w:r>
          <w:rPr>
            <w:noProof/>
            <w:webHidden/>
          </w:rPr>
        </w:r>
        <w:r>
          <w:rPr>
            <w:noProof/>
            <w:webHidden/>
          </w:rPr>
          <w:fldChar w:fldCharType="separate"/>
        </w:r>
        <w:r>
          <w:rPr>
            <w:noProof/>
            <w:webHidden/>
          </w:rPr>
          <w:t>11</w:t>
        </w:r>
        <w:r>
          <w:rPr>
            <w:noProof/>
            <w:webHidden/>
          </w:rPr>
          <w:fldChar w:fldCharType="end"/>
        </w:r>
      </w:hyperlink>
    </w:p>
    <w:p w14:paraId="5777BE31" w14:textId="2760AF29" w:rsidR="00B51EA9" w:rsidRDefault="00B51EA9">
      <w:pPr>
        <w:pStyle w:val="TOC1"/>
        <w:rPr>
          <w:rFonts w:asciiTheme="minorHAnsi" w:eastAsiaTheme="minorEastAsia" w:hAnsiTheme="minorHAnsi" w:cstheme="minorBidi"/>
          <w:bCs w:val="0"/>
          <w:noProof/>
          <w:sz w:val="21"/>
          <w:szCs w:val="22"/>
          <w:lang w:val="en-US"/>
        </w:rPr>
      </w:pPr>
      <w:hyperlink w:anchor="_Toc112915746" w:history="1">
        <w:r w:rsidRPr="001D3941">
          <w:rPr>
            <w:rStyle w:val="a9"/>
            <w:noProof/>
          </w:rPr>
          <w:t>第四章</w:t>
        </w:r>
        <w:r w:rsidRPr="001D3941">
          <w:rPr>
            <w:rStyle w:val="a9"/>
            <w:noProof/>
          </w:rPr>
          <w:t xml:space="preserve"> </w:t>
        </w:r>
        <w:r w:rsidRPr="001D3941">
          <w:rPr>
            <w:rStyle w:val="a9"/>
            <w:noProof/>
          </w:rPr>
          <w:t>安信证券助力绿春发展</w:t>
        </w:r>
        <w:r w:rsidRPr="001D3941">
          <w:rPr>
            <w:rStyle w:val="a9"/>
            <w:noProof/>
          </w:rPr>
          <w:t>——</w:t>
        </w:r>
        <w:r w:rsidRPr="001D3941">
          <w:rPr>
            <w:rStyle w:val="a9"/>
            <w:noProof/>
          </w:rPr>
          <w:t>证券业振兴乡村政策建议</w:t>
        </w:r>
        <w:r>
          <w:rPr>
            <w:noProof/>
            <w:webHidden/>
          </w:rPr>
          <w:tab/>
        </w:r>
        <w:r>
          <w:rPr>
            <w:noProof/>
            <w:webHidden/>
          </w:rPr>
          <w:fldChar w:fldCharType="begin"/>
        </w:r>
        <w:r>
          <w:rPr>
            <w:noProof/>
            <w:webHidden/>
          </w:rPr>
          <w:instrText xml:space="preserve"> PAGEREF _Toc112915746 \h </w:instrText>
        </w:r>
        <w:r>
          <w:rPr>
            <w:noProof/>
            <w:webHidden/>
          </w:rPr>
        </w:r>
        <w:r>
          <w:rPr>
            <w:noProof/>
            <w:webHidden/>
          </w:rPr>
          <w:fldChar w:fldCharType="separate"/>
        </w:r>
        <w:r>
          <w:rPr>
            <w:noProof/>
            <w:webHidden/>
          </w:rPr>
          <w:t>12</w:t>
        </w:r>
        <w:r>
          <w:rPr>
            <w:noProof/>
            <w:webHidden/>
          </w:rPr>
          <w:fldChar w:fldCharType="end"/>
        </w:r>
      </w:hyperlink>
    </w:p>
    <w:p w14:paraId="27C8498D" w14:textId="04710BDD" w:rsidR="00B51EA9" w:rsidRDefault="00B51EA9">
      <w:pPr>
        <w:pStyle w:val="TOC2"/>
        <w:tabs>
          <w:tab w:val="right" w:leader="dot" w:pos="9628"/>
        </w:tabs>
        <w:ind w:firstLine="480"/>
        <w:rPr>
          <w:rFonts w:asciiTheme="minorHAnsi" w:eastAsiaTheme="minorEastAsia" w:hAnsiTheme="minorHAnsi" w:cstheme="minorBidi"/>
          <w:bCs w:val="0"/>
          <w:noProof/>
          <w:sz w:val="21"/>
          <w:szCs w:val="22"/>
        </w:rPr>
      </w:pPr>
      <w:hyperlink w:anchor="_Toc112915747" w:history="1">
        <w:r w:rsidRPr="001D3941">
          <w:rPr>
            <w:rStyle w:val="a9"/>
            <w:noProof/>
          </w:rPr>
          <w:t>第一节</w:t>
        </w:r>
        <w:r w:rsidRPr="001D3941">
          <w:rPr>
            <w:rStyle w:val="a9"/>
            <w:noProof/>
          </w:rPr>
          <w:t xml:space="preserve"> </w:t>
        </w:r>
        <w:r w:rsidRPr="001D3941">
          <w:rPr>
            <w:rStyle w:val="a9"/>
            <w:noProof/>
          </w:rPr>
          <w:t>谨防大水漫灌，针对重点领域展开帮扶振兴</w:t>
        </w:r>
        <w:r>
          <w:rPr>
            <w:noProof/>
            <w:webHidden/>
          </w:rPr>
          <w:tab/>
        </w:r>
        <w:r>
          <w:rPr>
            <w:noProof/>
            <w:webHidden/>
          </w:rPr>
          <w:fldChar w:fldCharType="begin"/>
        </w:r>
        <w:r>
          <w:rPr>
            <w:noProof/>
            <w:webHidden/>
          </w:rPr>
          <w:instrText xml:space="preserve"> PAGEREF _Toc112915747 \h </w:instrText>
        </w:r>
        <w:r>
          <w:rPr>
            <w:noProof/>
            <w:webHidden/>
          </w:rPr>
        </w:r>
        <w:r>
          <w:rPr>
            <w:noProof/>
            <w:webHidden/>
          </w:rPr>
          <w:fldChar w:fldCharType="separate"/>
        </w:r>
        <w:r>
          <w:rPr>
            <w:noProof/>
            <w:webHidden/>
          </w:rPr>
          <w:t>12</w:t>
        </w:r>
        <w:r>
          <w:rPr>
            <w:noProof/>
            <w:webHidden/>
          </w:rPr>
          <w:fldChar w:fldCharType="end"/>
        </w:r>
      </w:hyperlink>
    </w:p>
    <w:p w14:paraId="49BA6157" w14:textId="5016CF1B" w:rsidR="00B51EA9" w:rsidRDefault="00B51EA9">
      <w:pPr>
        <w:pStyle w:val="TOC2"/>
        <w:tabs>
          <w:tab w:val="right" w:leader="dot" w:pos="9628"/>
        </w:tabs>
        <w:ind w:firstLine="480"/>
        <w:rPr>
          <w:rFonts w:asciiTheme="minorHAnsi" w:eastAsiaTheme="minorEastAsia" w:hAnsiTheme="minorHAnsi" w:cstheme="minorBidi"/>
          <w:bCs w:val="0"/>
          <w:noProof/>
          <w:sz w:val="21"/>
          <w:szCs w:val="22"/>
        </w:rPr>
      </w:pPr>
      <w:hyperlink w:anchor="_Toc112915748" w:history="1">
        <w:r w:rsidRPr="001D3941">
          <w:rPr>
            <w:rStyle w:val="a9"/>
            <w:noProof/>
          </w:rPr>
          <w:t>第二节</w:t>
        </w:r>
        <w:r w:rsidRPr="001D3941">
          <w:rPr>
            <w:rStyle w:val="a9"/>
            <w:noProof/>
          </w:rPr>
          <w:t xml:space="preserve"> </w:t>
        </w:r>
        <w:r w:rsidRPr="001D3941">
          <w:rPr>
            <w:rStyle w:val="a9"/>
            <w:noProof/>
          </w:rPr>
          <w:t>产业经济振兴需要因地制宜，消费帮扶效果不容忽视</w:t>
        </w:r>
        <w:r>
          <w:rPr>
            <w:noProof/>
            <w:webHidden/>
          </w:rPr>
          <w:tab/>
        </w:r>
        <w:r>
          <w:rPr>
            <w:noProof/>
            <w:webHidden/>
          </w:rPr>
          <w:fldChar w:fldCharType="begin"/>
        </w:r>
        <w:r>
          <w:rPr>
            <w:noProof/>
            <w:webHidden/>
          </w:rPr>
          <w:instrText xml:space="preserve"> PAGEREF _Toc112915748 \h </w:instrText>
        </w:r>
        <w:r>
          <w:rPr>
            <w:noProof/>
            <w:webHidden/>
          </w:rPr>
        </w:r>
        <w:r>
          <w:rPr>
            <w:noProof/>
            <w:webHidden/>
          </w:rPr>
          <w:fldChar w:fldCharType="separate"/>
        </w:r>
        <w:r>
          <w:rPr>
            <w:noProof/>
            <w:webHidden/>
          </w:rPr>
          <w:t>12</w:t>
        </w:r>
        <w:r>
          <w:rPr>
            <w:noProof/>
            <w:webHidden/>
          </w:rPr>
          <w:fldChar w:fldCharType="end"/>
        </w:r>
      </w:hyperlink>
    </w:p>
    <w:p w14:paraId="0E352C83" w14:textId="3FBCD7FD" w:rsidR="00B51EA9" w:rsidRDefault="00B51EA9">
      <w:pPr>
        <w:pStyle w:val="TOC2"/>
        <w:tabs>
          <w:tab w:val="right" w:leader="dot" w:pos="9628"/>
        </w:tabs>
        <w:ind w:firstLine="480"/>
        <w:rPr>
          <w:rFonts w:asciiTheme="minorHAnsi" w:eastAsiaTheme="minorEastAsia" w:hAnsiTheme="minorHAnsi" w:cstheme="minorBidi"/>
          <w:bCs w:val="0"/>
          <w:noProof/>
          <w:sz w:val="21"/>
          <w:szCs w:val="22"/>
        </w:rPr>
      </w:pPr>
      <w:hyperlink w:anchor="_Toc112915749" w:history="1">
        <w:r w:rsidRPr="001D3941">
          <w:rPr>
            <w:rStyle w:val="a9"/>
            <w:noProof/>
          </w:rPr>
          <w:t>第三节</w:t>
        </w:r>
        <w:r w:rsidRPr="001D3941">
          <w:rPr>
            <w:rStyle w:val="a9"/>
            <w:noProof/>
          </w:rPr>
          <w:t xml:space="preserve"> “</w:t>
        </w:r>
        <w:r w:rsidRPr="001D3941">
          <w:rPr>
            <w:rStyle w:val="a9"/>
            <w:noProof/>
          </w:rPr>
          <w:t>要想富先修路</w:t>
        </w:r>
        <w:r w:rsidRPr="001D3941">
          <w:rPr>
            <w:rStyle w:val="a9"/>
            <w:noProof/>
          </w:rPr>
          <w:t>”</w:t>
        </w:r>
        <w:r w:rsidRPr="001D3941">
          <w:rPr>
            <w:rStyle w:val="a9"/>
            <w:noProof/>
          </w:rPr>
          <w:t>，大力支持交通建设实现乡村振兴</w:t>
        </w:r>
        <w:r>
          <w:rPr>
            <w:noProof/>
            <w:webHidden/>
          </w:rPr>
          <w:tab/>
        </w:r>
        <w:r>
          <w:rPr>
            <w:noProof/>
            <w:webHidden/>
          </w:rPr>
          <w:fldChar w:fldCharType="begin"/>
        </w:r>
        <w:r>
          <w:rPr>
            <w:noProof/>
            <w:webHidden/>
          </w:rPr>
          <w:instrText xml:space="preserve"> PAGEREF _Toc112915749 \h </w:instrText>
        </w:r>
        <w:r>
          <w:rPr>
            <w:noProof/>
            <w:webHidden/>
          </w:rPr>
        </w:r>
        <w:r>
          <w:rPr>
            <w:noProof/>
            <w:webHidden/>
          </w:rPr>
          <w:fldChar w:fldCharType="separate"/>
        </w:r>
        <w:r>
          <w:rPr>
            <w:noProof/>
            <w:webHidden/>
          </w:rPr>
          <w:t>13</w:t>
        </w:r>
        <w:r>
          <w:rPr>
            <w:noProof/>
            <w:webHidden/>
          </w:rPr>
          <w:fldChar w:fldCharType="end"/>
        </w:r>
      </w:hyperlink>
    </w:p>
    <w:p w14:paraId="28F95244" w14:textId="1F88829E" w:rsidR="00B51EA9" w:rsidRDefault="00B51EA9">
      <w:pPr>
        <w:pStyle w:val="TOC2"/>
        <w:tabs>
          <w:tab w:val="right" w:leader="dot" w:pos="9628"/>
        </w:tabs>
        <w:ind w:firstLine="480"/>
        <w:rPr>
          <w:rFonts w:asciiTheme="minorHAnsi" w:eastAsiaTheme="minorEastAsia" w:hAnsiTheme="minorHAnsi" w:cstheme="minorBidi"/>
          <w:bCs w:val="0"/>
          <w:noProof/>
          <w:sz w:val="21"/>
          <w:szCs w:val="22"/>
        </w:rPr>
      </w:pPr>
      <w:hyperlink w:anchor="_Toc112915750" w:history="1">
        <w:r w:rsidRPr="001D3941">
          <w:rPr>
            <w:rStyle w:val="a9"/>
            <w:noProof/>
          </w:rPr>
          <w:t>第四节</w:t>
        </w:r>
        <w:r w:rsidRPr="001D3941">
          <w:rPr>
            <w:rStyle w:val="a9"/>
            <w:noProof/>
          </w:rPr>
          <w:t xml:space="preserve"> </w:t>
        </w:r>
        <w:r w:rsidRPr="001D3941">
          <w:rPr>
            <w:rStyle w:val="a9"/>
            <w:noProof/>
          </w:rPr>
          <w:t>借鉴罗甸模式，助力绿春振兴</w:t>
        </w:r>
        <w:r>
          <w:rPr>
            <w:noProof/>
            <w:webHidden/>
          </w:rPr>
          <w:tab/>
        </w:r>
        <w:r>
          <w:rPr>
            <w:noProof/>
            <w:webHidden/>
          </w:rPr>
          <w:fldChar w:fldCharType="begin"/>
        </w:r>
        <w:r>
          <w:rPr>
            <w:noProof/>
            <w:webHidden/>
          </w:rPr>
          <w:instrText xml:space="preserve"> PAGEREF _Toc112915750 \h </w:instrText>
        </w:r>
        <w:r>
          <w:rPr>
            <w:noProof/>
            <w:webHidden/>
          </w:rPr>
        </w:r>
        <w:r>
          <w:rPr>
            <w:noProof/>
            <w:webHidden/>
          </w:rPr>
          <w:fldChar w:fldCharType="separate"/>
        </w:r>
        <w:r>
          <w:rPr>
            <w:noProof/>
            <w:webHidden/>
          </w:rPr>
          <w:t>13</w:t>
        </w:r>
        <w:r>
          <w:rPr>
            <w:noProof/>
            <w:webHidden/>
          </w:rPr>
          <w:fldChar w:fldCharType="end"/>
        </w:r>
      </w:hyperlink>
    </w:p>
    <w:p w14:paraId="7FD5C8C6" w14:textId="477EA3FC" w:rsidR="00B51EA9" w:rsidRDefault="00B51EA9">
      <w:pPr>
        <w:pStyle w:val="TOC1"/>
        <w:rPr>
          <w:rFonts w:asciiTheme="minorHAnsi" w:eastAsiaTheme="minorEastAsia" w:hAnsiTheme="minorHAnsi" w:cstheme="minorBidi"/>
          <w:bCs w:val="0"/>
          <w:noProof/>
          <w:sz w:val="21"/>
          <w:szCs w:val="22"/>
          <w:lang w:val="en-US"/>
        </w:rPr>
      </w:pPr>
      <w:hyperlink w:anchor="_Toc112915751" w:history="1">
        <w:r w:rsidRPr="001D3941">
          <w:rPr>
            <w:rStyle w:val="a9"/>
            <w:noProof/>
          </w:rPr>
          <w:t>结</w:t>
        </w:r>
        <w:r w:rsidRPr="001D3941">
          <w:rPr>
            <w:rStyle w:val="a9"/>
            <w:noProof/>
          </w:rPr>
          <w:t xml:space="preserve">  </w:t>
        </w:r>
        <w:r w:rsidRPr="001D3941">
          <w:rPr>
            <w:rStyle w:val="a9"/>
            <w:noProof/>
          </w:rPr>
          <w:t>语</w:t>
        </w:r>
        <w:r>
          <w:rPr>
            <w:noProof/>
            <w:webHidden/>
          </w:rPr>
          <w:tab/>
        </w:r>
        <w:r>
          <w:rPr>
            <w:noProof/>
            <w:webHidden/>
          </w:rPr>
          <w:fldChar w:fldCharType="begin"/>
        </w:r>
        <w:r>
          <w:rPr>
            <w:noProof/>
            <w:webHidden/>
          </w:rPr>
          <w:instrText xml:space="preserve"> PAGEREF _Toc112915751 \h </w:instrText>
        </w:r>
        <w:r>
          <w:rPr>
            <w:noProof/>
            <w:webHidden/>
          </w:rPr>
        </w:r>
        <w:r>
          <w:rPr>
            <w:noProof/>
            <w:webHidden/>
          </w:rPr>
          <w:fldChar w:fldCharType="separate"/>
        </w:r>
        <w:r>
          <w:rPr>
            <w:noProof/>
            <w:webHidden/>
          </w:rPr>
          <w:t>15</w:t>
        </w:r>
        <w:r>
          <w:rPr>
            <w:noProof/>
            <w:webHidden/>
          </w:rPr>
          <w:fldChar w:fldCharType="end"/>
        </w:r>
      </w:hyperlink>
    </w:p>
    <w:p w14:paraId="47845E79" w14:textId="2B33E97F" w:rsidR="00B51EA9" w:rsidRDefault="00B51EA9">
      <w:pPr>
        <w:pStyle w:val="TOC1"/>
        <w:rPr>
          <w:rFonts w:asciiTheme="minorHAnsi" w:eastAsiaTheme="minorEastAsia" w:hAnsiTheme="minorHAnsi" w:cstheme="minorBidi"/>
          <w:bCs w:val="0"/>
          <w:noProof/>
          <w:sz w:val="21"/>
          <w:szCs w:val="22"/>
          <w:lang w:val="en-US"/>
        </w:rPr>
      </w:pPr>
      <w:hyperlink w:anchor="_Toc112915752" w:history="1">
        <w:r w:rsidRPr="001D3941">
          <w:rPr>
            <w:rStyle w:val="a9"/>
            <w:noProof/>
          </w:rPr>
          <w:t>参考文献</w:t>
        </w:r>
        <w:r>
          <w:rPr>
            <w:noProof/>
            <w:webHidden/>
          </w:rPr>
          <w:tab/>
        </w:r>
        <w:r>
          <w:rPr>
            <w:noProof/>
            <w:webHidden/>
          </w:rPr>
          <w:fldChar w:fldCharType="begin"/>
        </w:r>
        <w:r>
          <w:rPr>
            <w:noProof/>
            <w:webHidden/>
          </w:rPr>
          <w:instrText xml:space="preserve"> PAGEREF _Toc112915752 \h </w:instrText>
        </w:r>
        <w:r>
          <w:rPr>
            <w:noProof/>
            <w:webHidden/>
          </w:rPr>
        </w:r>
        <w:r>
          <w:rPr>
            <w:noProof/>
            <w:webHidden/>
          </w:rPr>
          <w:fldChar w:fldCharType="separate"/>
        </w:r>
        <w:r>
          <w:rPr>
            <w:noProof/>
            <w:webHidden/>
          </w:rPr>
          <w:t>16</w:t>
        </w:r>
        <w:r>
          <w:rPr>
            <w:noProof/>
            <w:webHidden/>
          </w:rPr>
          <w:fldChar w:fldCharType="end"/>
        </w:r>
      </w:hyperlink>
    </w:p>
    <w:p w14:paraId="432B6D54" w14:textId="3C291C40" w:rsidR="007B1546" w:rsidRDefault="00DE12C6" w:rsidP="007B1546">
      <w:pPr>
        <w:numPr>
          <w:ilvl w:val="0"/>
          <w:numId w:val="0"/>
        </w:numPr>
        <w:sectPr w:rsidR="007B1546" w:rsidSect="00271056">
          <w:footnotePr>
            <w:numRestart w:val="eachPage"/>
          </w:footnotePr>
          <w:pgSz w:w="11906" w:h="16838"/>
          <w:pgMar w:top="1418" w:right="1134" w:bottom="1418" w:left="1134" w:header="851" w:footer="992" w:gutter="0"/>
          <w:pgNumType w:start="1"/>
          <w:cols w:space="425"/>
          <w:docGrid w:type="lines" w:linePitch="312"/>
        </w:sectPr>
      </w:pPr>
      <w:r>
        <w:rPr>
          <w:rFonts w:ascii="Times New Roman" w:eastAsia="宋体" w:hAnsi="Times New Roman" w:cs="Times New Roman"/>
          <w:sz w:val="24"/>
          <w:szCs w:val="28"/>
          <w:lang w:val="zh-CN"/>
        </w:rPr>
        <w:fldChar w:fldCharType="end"/>
      </w:r>
    </w:p>
    <w:p w14:paraId="20D2C148" w14:textId="4B705DE5" w:rsidR="00E0017A" w:rsidRPr="007C6315" w:rsidRDefault="001D1C02" w:rsidP="00326CD3">
      <w:pPr>
        <w:pStyle w:val="001"/>
        <w:spacing w:before="156" w:after="156"/>
      </w:pPr>
      <w:bookmarkStart w:id="2" w:name="_Toc112089145"/>
      <w:bookmarkStart w:id="3" w:name="_Toc112915727"/>
      <w:bookmarkEnd w:id="1"/>
      <w:r>
        <w:rPr>
          <w:rFonts w:hint="eastAsia"/>
        </w:rPr>
        <w:lastRenderedPageBreak/>
        <w:t>前</w:t>
      </w:r>
      <w:r w:rsidR="00BD651F">
        <w:rPr>
          <w:rFonts w:hint="eastAsia"/>
        </w:rPr>
        <w:t xml:space="preserve"> </w:t>
      </w:r>
      <w:r w:rsidR="00BD651F">
        <w:t xml:space="preserve"> </w:t>
      </w:r>
      <w:r w:rsidR="00E0017A" w:rsidRPr="007C6315">
        <w:rPr>
          <w:rFonts w:hint="eastAsia"/>
        </w:rPr>
        <w:t>言</w:t>
      </w:r>
      <w:bookmarkEnd w:id="2"/>
      <w:bookmarkEnd w:id="3"/>
    </w:p>
    <w:p w14:paraId="2965F13D" w14:textId="2542A97E" w:rsidR="009252FC" w:rsidRDefault="00967E9D" w:rsidP="004314C4">
      <w:pPr>
        <w:pStyle w:val="005"/>
        <w:ind w:firstLine="480"/>
      </w:pPr>
      <w:r w:rsidRPr="00857F6A">
        <w:rPr>
          <w:rFonts w:hint="eastAsia"/>
        </w:rPr>
        <w:t>乡村振兴，是党的十九大提出的重大战略，</w:t>
      </w:r>
      <w:r w:rsidR="00857F6A" w:rsidRPr="00857F6A">
        <w:rPr>
          <w:rFonts w:hint="eastAsia"/>
        </w:rPr>
        <w:t>是开启全面建设社会主义现代化国家新征程的</w:t>
      </w:r>
      <w:r w:rsidR="00857F6A">
        <w:rPr>
          <w:rFonts w:hint="eastAsia"/>
        </w:rPr>
        <w:t>一大抓手。</w:t>
      </w:r>
      <w:r w:rsidR="00A67D66">
        <w:rPr>
          <w:rFonts w:hint="eastAsia"/>
        </w:rPr>
        <w:t>习近平总书记在党第十九次全国代表大会报告中强调</w:t>
      </w:r>
      <w:r w:rsidR="0058188D">
        <w:rPr>
          <w:rFonts w:hint="eastAsia"/>
        </w:rPr>
        <w:t>，</w:t>
      </w:r>
      <w:r w:rsidR="00A67D66" w:rsidRPr="00A67D66">
        <w:rPr>
          <w:rFonts w:hint="eastAsia"/>
        </w:rPr>
        <w:t>农业农村农民问题是关系国计民生的根本性问题</w:t>
      </w:r>
      <w:r w:rsidR="00A67D66">
        <w:rPr>
          <w:rFonts w:hint="eastAsia"/>
        </w:rPr>
        <w:t>，并</w:t>
      </w:r>
      <w:r w:rsidR="004A2005">
        <w:rPr>
          <w:rFonts w:hint="eastAsia"/>
        </w:rPr>
        <w:t>要</w:t>
      </w:r>
      <w:r w:rsidR="00A67D66">
        <w:rPr>
          <w:rFonts w:hint="eastAsia"/>
        </w:rPr>
        <w:t>严格遵循</w:t>
      </w:r>
      <w:r w:rsidR="00A67D66" w:rsidRPr="00A67D66">
        <w:rPr>
          <w:rFonts w:hint="eastAsia"/>
        </w:rPr>
        <w:t>产业兴旺、生态宜居、乡风文明、治理有效、生活富裕的总要求</w:t>
      </w:r>
      <w:r w:rsidR="000004FB">
        <w:rPr>
          <w:rStyle w:val="af4"/>
        </w:rPr>
        <w:footnoteReference w:id="1"/>
      </w:r>
      <w:r w:rsidR="004A2005">
        <w:rPr>
          <w:rFonts w:hint="eastAsia"/>
        </w:rPr>
        <w:t>。</w:t>
      </w:r>
      <w:r w:rsidR="00E93E61">
        <w:rPr>
          <w:rFonts w:hint="eastAsia"/>
        </w:rPr>
        <w:t>为</w:t>
      </w:r>
      <w:proofErr w:type="gramStart"/>
      <w:r w:rsidR="00E93E61">
        <w:rPr>
          <w:rFonts w:hint="eastAsia"/>
        </w:rPr>
        <w:t>深刻落实</w:t>
      </w:r>
      <w:proofErr w:type="gramEnd"/>
      <w:r w:rsidR="00E93E61">
        <w:rPr>
          <w:rFonts w:hint="eastAsia"/>
        </w:rPr>
        <w:t>乡村振兴的战略方针，并响应中国证券业协会</w:t>
      </w:r>
      <w:r w:rsidR="0058188D">
        <w:rPr>
          <w:rFonts w:hint="eastAsia"/>
        </w:rPr>
        <w:t>关于</w:t>
      </w:r>
      <w:r w:rsidR="00E93E61">
        <w:rPr>
          <w:rFonts w:hint="eastAsia"/>
        </w:rPr>
        <w:t>“证券行业促进乡村振兴公益活动”研究平台建设的号召</w:t>
      </w:r>
      <w:r w:rsidR="003D2AA4">
        <w:rPr>
          <w:rFonts w:hint="eastAsia"/>
        </w:rPr>
        <w:t>，</w:t>
      </w:r>
      <w:r w:rsidR="00D1194D">
        <w:rPr>
          <w:rFonts w:hint="eastAsia"/>
        </w:rPr>
        <w:t>安信证券股份有限公司</w:t>
      </w:r>
      <w:r w:rsidR="00CF52CE">
        <w:rPr>
          <w:rFonts w:hint="eastAsia"/>
        </w:rPr>
        <w:t>（以下简称“安信证券”、“公司”）</w:t>
      </w:r>
      <w:r w:rsidR="00D1194D">
        <w:rPr>
          <w:rFonts w:hint="eastAsia"/>
        </w:rPr>
        <w:t>积极落实证券业助力乡村振兴的工作部署</w:t>
      </w:r>
      <w:r w:rsidR="007372FA">
        <w:rPr>
          <w:rFonts w:hint="eastAsia"/>
        </w:rPr>
        <w:t>。</w:t>
      </w:r>
      <w:r w:rsidR="003D2AA4">
        <w:rPr>
          <w:rFonts w:hint="eastAsia"/>
        </w:rPr>
        <w:t>公司</w:t>
      </w:r>
      <w:r w:rsidR="00D1194D">
        <w:rPr>
          <w:rFonts w:hint="eastAsia"/>
        </w:rPr>
        <w:t>结合云南省红河州绿春县发展实际情况及近年安信证券帮扶具体成效，</w:t>
      </w:r>
      <w:r w:rsidR="0058188D">
        <w:rPr>
          <w:rFonts w:hint="eastAsia"/>
        </w:rPr>
        <w:t>完成具体调研工作并形成调研报告，</w:t>
      </w:r>
      <w:r w:rsidR="006A0D1E">
        <w:rPr>
          <w:rFonts w:hint="eastAsia"/>
        </w:rPr>
        <w:t>现将调研情况及研究成果报告如下。</w:t>
      </w:r>
    </w:p>
    <w:p w14:paraId="259A186F" w14:textId="77777777" w:rsidR="009252FC" w:rsidRDefault="009252FC">
      <w:pPr>
        <w:widowControl/>
        <w:numPr>
          <w:ilvl w:val="0"/>
          <w:numId w:val="0"/>
        </w:numPr>
        <w:jc w:val="left"/>
        <w:rPr>
          <w:rFonts w:ascii="Times New Roman" w:eastAsia="宋体" w:hAnsi="Times New Roman" w:cs="Times New Roman"/>
          <w:sz w:val="24"/>
        </w:rPr>
      </w:pPr>
      <w:r>
        <w:br w:type="page"/>
      </w:r>
    </w:p>
    <w:p w14:paraId="1F5B2058" w14:textId="74BC8AA6" w:rsidR="006A0D1E" w:rsidRDefault="00BC54A0" w:rsidP="00326CD3">
      <w:pPr>
        <w:pStyle w:val="001"/>
        <w:spacing w:before="156" w:after="156"/>
      </w:pPr>
      <w:bookmarkStart w:id="4" w:name="_Toc112089146"/>
      <w:bookmarkStart w:id="5" w:name="_Toc112915728"/>
      <w:r>
        <w:rPr>
          <w:rFonts w:hint="eastAsia"/>
        </w:rPr>
        <w:lastRenderedPageBreak/>
        <w:t>第一章</w:t>
      </w:r>
      <w:r w:rsidR="009252FC">
        <w:rPr>
          <w:rFonts w:hint="eastAsia"/>
        </w:rPr>
        <w:t xml:space="preserve"> </w:t>
      </w:r>
      <w:r w:rsidR="006A0D1E">
        <w:rPr>
          <w:rFonts w:hint="eastAsia"/>
        </w:rPr>
        <w:t>绿春</w:t>
      </w:r>
      <w:proofErr w:type="gramStart"/>
      <w:r w:rsidR="006A0D1E">
        <w:rPr>
          <w:rFonts w:hint="eastAsia"/>
        </w:rPr>
        <w:t>县总体</w:t>
      </w:r>
      <w:proofErr w:type="gramEnd"/>
      <w:r w:rsidR="006A0D1E">
        <w:rPr>
          <w:rFonts w:hint="eastAsia"/>
        </w:rPr>
        <w:t>概况</w:t>
      </w:r>
      <w:bookmarkEnd w:id="4"/>
      <w:bookmarkEnd w:id="5"/>
    </w:p>
    <w:p w14:paraId="770B3C2F" w14:textId="146543BF" w:rsidR="006A0D1E" w:rsidRPr="00FE3986" w:rsidRDefault="001D1C02" w:rsidP="00326CD3">
      <w:pPr>
        <w:pStyle w:val="002"/>
        <w:spacing w:before="156" w:after="156"/>
      </w:pPr>
      <w:bookmarkStart w:id="6" w:name="_Toc112089147"/>
      <w:bookmarkStart w:id="7" w:name="_Toc112915729"/>
      <w:r>
        <w:rPr>
          <w:rFonts w:hint="eastAsia"/>
        </w:rPr>
        <w:t>第一节</w:t>
      </w:r>
      <w:r w:rsidR="00FE3986">
        <w:t xml:space="preserve"> </w:t>
      </w:r>
      <w:r w:rsidR="00615A92" w:rsidRPr="00FE3986">
        <w:rPr>
          <w:rFonts w:hint="eastAsia"/>
        </w:rPr>
        <w:t>区位简述</w:t>
      </w:r>
      <w:bookmarkEnd w:id="6"/>
      <w:bookmarkEnd w:id="7"/>
    </w:p>
    <w:p w14:paraId="214888B4" w14:textId="0063C304" w:rsidR="007C2055" w:rsidRDefault="007C2055" w:rsidP="004314C4">
      <w:pPr>
        <w:pStyle w:val="005"/>
        <w:ind w:firstLine="480"/>
      </w:pPr>
      <w:r w:rsidRPr="007C2055">
        <w:rPr>
          <w:rFonts w:hint="eastAsia"/>
        </w:rPr>
        <w:t>绿春原名“六村”，俗称“东仰”，</w:t>
      </w:r>
      <w:r w:rsidRPr="007C2055">
        <w:t>1958</w:t>
      </w:r>
      <w:r w:rsidRPr="007C2055">
        <w:t>年</w:t>
      </w:r>
      <w:r w:rsidRPr="007C2055">
        <w:t>7</w:t>
      </w:r>
      <w:r w:rsidRPr="007C2055">
        <w:t>月建县时，国务院根据境内绿水青山、四季如春的特点而命名为绿春</w:t>
      </w:r>
      <w:r w:rsidR="00F354FB">
        <w:rPr>
          <w:rStyle w:val="af4"/>
        </w:rPr>
        <w:footnoteReference w:id="2"/>
      </w:r>
      <w:r w:rsidRPr="007C2055">
        <w:t>。全县辖</w:t>
      </w:r>
      <w:r w:rsidRPr="007C2055">
        <w:t>4</w:t>
      </w:r>
      <w:r w:rsidRPr="007C2055">
        <w:t>镇</w:t>
      </w:r>
      <w:r w:rsidRPr="007C2055">
        <w:t>5</w:t>
      </w:r>
      <w:r w:rsidRPr="007C2055">
        <w:t>乡、</w:t>
      </w:r>
      <w:r w:rsidRPr="007C2055">
        <w:t>92</w:t>
      </w:r>
      <w:r w:rsidRPr="007C2055">
        <w:t>个村（社区）、</w:t>
      </w:r>
      <w:r w:rsidRPr="007C2055">
        <w:t>803</w:t>
      </w:r>
      <w:r w:rsidRPr="007C2055">
        <w:t>个村（居）民小组，总人口</w:t>
      </w:r>
      <w:r w:rsidRPr="007C2055">
        <w:t>21</w:t>
      </w:r>
      <w:r w:rsidRPr="007C2055">
        <w:t>万人。绿春是云南省</w:t>
      </w:r>
      <w:r w:rsidRPr="007C2055">
        <w:t>25</w:t>
      </w:r>
      <w:r w:rsidRPr="007C2055">
        <w:t>个、红河州</w:t>
      </w:r>
      <w:r w:rsidRPr="007C2055">
        <w:t>3</w:t>
      </w:r>
      <w:r w:rsidRPr="007C2055">
        <w:t>个边境县之一，</w:t>
      </w:r>
      <w:r w:rsidR="00615A92" w:rsidRPr="007C2055">
        <w:t>边疆前沿阵地</w:t>
      </w:r>
      <w:r w:rsidR="00615A92">
        <w:rPr>
          <w:rFonts w:hint="eastAsia"/>
        </w:rPr>
        <w:t>，</w:t>
      </w:r>
      <w:r w:rsidRPr="007C2055">
        <w:t>与越南莱州省孟</w:t>
      </w:r>
      <w:proofErr w:type="gramStart"/>
      <w:r w:rsidRPr="007C2055">
        <w:t>谍</w:t>
      </w:r>
      <w:proofErr w:type="gramEnd"/>
      <w:r w:rsidRPr="007C2055">
        <w:t>县接壤</w:t>
      </w:r>
      <w:r w:rsidR="00DD0135">
        <w:rPr>
          <w:rFonts w:hint="eastAsia"/>
        </w:rPr>
        <w:t>。绿春县民族特性突出，世居哈尼、</w:t>
      </w:r>
      <w:r w:rsidR="00DD0135" w:rsidRPr="00DD0135">
        <w:rPr>
          <w:rFonts w:hint="eastAsia"/>
        </w:rPr>
        <w:t>彝、瑶、傣、拉祜、汉</w:t>
      </w:r>
      <w:r w:rsidR="00DD0135" w:rsidRPr="00DD0135">
        <w:t>6</w:t>
      </w:r>
      <w:r w:rsidR="00DD0135" w:rsidRPr="00DD0135">
        <w:t>种民族，总人口中少数民族占比</w:t>
      </w:r>
      <w:r w:rsidR="00DD0135" w:rsidRPr="00DD0135">
        <w:t>97.32%</w:t>
      </w:r>
      <w:r w:rsidR="00DD0135" w:rsidRPr="00DD0135">
        <w:t>、哈尼族占比</w:t>
      </w:r>
      <w:r w:rsidR="00DD0135" w:rsidRPr="00DD0135">
        <w:t>86.45%</w:t>
      </w:r>
      <w:r w:rsidR="00DD0135" w:rsidRPr="00DD0135">
        <w:t>。</w:t>
      </w:r>
      <w:r w:rsidR="00004536">
        <w:rPr>
          <w:rFonts w:hint="eastAsia"/>
        </w:rPr>
        <w:t>全县境内山区资源丰富，国土面积为</w:t>
      </w:r>
      <w:r w:rsidR="0014241E" w:rsidRPr="00004536">
        <w:t>3</w:t>
      </w:r>
      <w:r w:rsidR="0014241E">
        <w:t>,</w:t>
      </w:r>
      <w:r w:rsidR="0014241E" w:rsidRPr="00004536">
        <w:t>096.</w:t>
      </w:r>
      <w:r w:rsidR="00004536" w:rsidRPr="00004536">
        <w:t>85</w:t>
      </w:r>
      <w:r w:rsidR="00004536" w:rsidRPr="00004536">
        <w:t>平方公里，最高海拔</w:t>
      </w:r>
      <w:r w:rsidR="00C116A3" w:rsidRPr="00004536">
        <w:t>2</w:t>
      </w:r>
      <w:r w:rsidR="00C116A3">
        <w:t>,</w:t>
      </w:r>
      <w:r w:rsidR="00C116A3" w:rsidRPr="00004536">
        <w:t>637</w:t>
      </w:r>
      <w:r w:rsidR="00004536" w:rsidRPr="00004536">
        <w:t>米，最低海拔</w:t>
      </w:r>
      <w:r w:rsidR="00004536" w:rsidRPr="00004536">
        <w:t>320</w:t>
      </w:r>
      <w:r w:rsidR="00004536" w:rsidRPr="00004536">
        <w:t>米，年均气温</w:t>
      </w:r>
      <w:r w:rsidR="00004536" w:rsidRPr="00004536">
        <w:t>17.1℃</w:t>
      </w:r>
      <w:r w:rsidR="00004536">
        <w:rPr>
          <w:rFonts w:hint="eastAsia"/>
        </w:rPr>
        <w:t>，</w:t>
      </w:r>
      <w:r w:rsidR="00004536" w:rsidRPr="00004536">
        <w:rPr>
          <w:rFonts w:hint="eastAsia"/>
        </w:rPr>
        <w:t>森林覆盖率达</w:t>
      </w:r>
      <w:r w:rsidR="00004536" w:rsidRPr="00004536">
        <w:t>76.02%</w:t>
      </w:r>
      <w:r w:rsidR="00004536" w:rsidRPr="00004536">
        <w:t>，居红河州首位</w:t>
      </w:r>
      <w:r w:rsidR="00B93017">
        <w:rPr>
          <w:rStyle w:val="af4"/>
        </w:rPr>
        <w:footnoteReference w:id="3"/>
      </w:r>
      <w:r w:rsidR="00004536" w:rsidRPr="00004536">
        <w:t>。</w:t>
      </w:r>
    </w:p>
    <w:p w14:paraId="4D331996" w14:textId="704DF9D6" w:rsidR="00CF52CE" w:rsidRPr="00FE3986" w:rsidRDefault="001D1C02" w:rsidP="00CF52CE">
      <w:pPr>
        <w:pStyle w:val="002"/>
        <w:spacing w:before="156" w:after="156"/>
      </w:pPr>
      <w:bookmarkStart w:id="8" w:name="_Toc112915730"/>
      <w:r>
        <w:rPr>
          <w:rFonts w:hint="eastAsia"/>
        </w:rPr>
        <w:t>第二节</w:t>
      </w:r>
      <w:r w:rsidR="00CF52CE">
        <w:t xml:space="preserve"> </w:t>
      </w:r>
      <w:r w:rsidR="00CF52CE">
        <w:rPr>
          <w:rFonts w:hint="eastAsia"/>
        </w:rPr>
        <w:t>经济发展现状</w:t>
      </w:r>
      <w:bookmarkEnd w:id="8"/>
    </w:p>
    <w:p w14:paraId="5911B37A" w14:textId="4133D539" w:rsidR="00A70A45" w:rsidRDefault="00A70A45" w:rsidP="004314C4">
      <w:pPr>
        <w:pStyle w:val="005"/>
        <w:ind w:firstLine="480"/>
      </w:pPr>
      <w:r>
        <w:rPr>
          <w:rFonts w:hint="eastAsia"/>
        </w:rPr>
        <w:t>绿春县全县</w:t>
      </w:r>
      <w:r>
        <w:t>2021</w:t>
      </w:r>
      <w:r>
        <w:rPr>
          <w:rFonts w:hint="eastAsia"/>
        </w:rPr>
        <w:t>年</w:t>
      </w:r>
      <w:r w:rsidRPr="00A70A45">
        <w:rPr>
          <w:rFonts w:hint="eastAsia"/>
        </w:rPr>
        <w:t>实现生产总值</w:t>
      </w:r>
      <w:r w:rsidRPr="00A70A45">
        <w:t>589</w:t>
      </w:r>
      <w:r>
        <w:rPr>
          <w:rFonts w:hint="eastAsia"/>
        </w:rPr>
        <w:t>,</w:t>
      </w:r>
      <w:r w:rsidRPr="00A70A45">
        <w:t>850</w:t>
      </w:r>
      <w:r w:rsidRPr="00A70A45">
        <w:t>万元，按可比价格计算，同比增长</w:t>
      </w:r>
      <w:r w:rsidRPr="00A70A45">
        <w:t>9.1%</w:t>
      </w:r>
      <w:r w:rsidRPr="00A70A45">
        <w:t>。其中：第一产业增加值</w:t>
      </w:r>
      <w:r w:rsidRPr="00A70A45">
        <w:t>145</w:t>
      </w:r>
      <w:r w:rsidR="00E43970">
        <w:rPr>
          <w:rFonts w:hint="eastAsia"/>
        </w:rPr>
        <w:t>,</w:t>
      </w:r>
      <w:r w:rsidRPr="00A70A45">
        <w:t>369</w:t>
      </w:r>
      <w:r w:rsidRPr="00A70A45">
        <w:t>万元，同比增长</w:t>
      </w:r>
      <w:r w:rsidRPr="00A70A45">
        <w:t>8.1%</w:t>
      </w:r>
      <w:r w:rsidRPr="00A70A45">
        <w:t>；第二产业增加值</w:t>
      </w:r>
      <w:r w:rsidRPr="00A70A45">
        <w:t>176</w:t>
      </w:r>
      <w:r w:rsidR="00E43970">
        <w:rPr>
          <w:rFonts w:hint="eastAsia"/>
        </w:rPr>
        <w:t>,</w:t>
      </w:r>
      <w:r w:rsidRPr="00A70A45">
        <w:t>771</w:t>
      </w:r>
      <w:r w:rsidRPr="00A70A45">
        <w:t>万元，同比增长</w:t>
      </w:r>
      <w:r w:rsidRPr="00A70A45">
        <w:t>12.5%</w:t>
      </w:r>
      <w:r w:rsidRPr="00A70A45">
        <w:t>；第三产业增加值</w:t>
      </w:r>
      <w:r w:rsidRPr="00A70A45">
        <w:t>267</w:t>
      </w:r>
      <w:r w:rsidR="00E43970">
        <w:rPr>
          <w:rFonts w:hint="eastAsia"/>
        </w:rPr>
        <w:t>,</w:t>
      </w:r>
      <w:r w:rsidRPr="00A70A45">
        <w:t>710</w:t>
      </w:r>
      <w:r w:rsidRPr="00A70A45">
        <w:t>万元，同比增长</w:t>
      </w:r>
      <w:r w:rsidRPr="00A70A45">
        <w:t>7.5%</w:t>
      </w:r>
      <w:r w:rsidRPr="00A70A45">
        <w:t>，三次产业结构为</w:t>
      </w:r>
      <w:r w:rsidRPr="00A70A45">
        <w:t>24.6:30:45.4</w:t>
      </w:r>
      <w:r w:rsidRPr="00A70A45">
        <w:t>。人均生产总值完成</w:t>
      </w:r>
      <w:r w:rsidRPr="00A70A45">
        <w:t>28</w:t>
      </w:r>
      <w:r w:rsidR="00E43970">
        <w:rPr>
          <w:rFonts w:hint="eastAsia"/>
        </w:rPr>
        <w:t>,</w:t>
      </w:r>
      <w:r w:rsidRPr="00A70A45">
        <w:t>379</w:t>
      </w:r>
      <w:r w:rsidRPr="00A70A45">
        <w:t>元，同比增长</w:t>
      </w:r>
      <w:r w:rsidRPr="00A70A45">
        <w:t>10.6%</w:t>
      </w:r>
      <w:r w:rsidRPr="00A70A45">
        <w:t>，非公有制经济实现增加值</w:t>
      </w:r>
      <w:r w:rsidRPr="00A70A45">
        <w:t>343</w:t>
      </w:r>
      <w:r w:rsidR="00E43970">
        <w:rPr>
          <w:rFonts w:hint="eastAsia"/>
        </w:rPr>
        <w:t>,</w:t>
      </w:r>
      <w:r w:rsidRPr="00A70A45">
        <w:t>898</w:t>
      </w:r>
      <w:r w:rsidRPr="00A70A45">
        <w:t>万元，占全县生产总值的比重为</w:t>
      </w:r>
      <w:r w:rsidRPr="00A70A45">
        <w:t>58.3%</w:t>
      </w:r>
      <w:bookmarkStart w:id="9" w:name="_Ref112886850"/>
      <w:r w:rsidR="00E30836">
        <w:rPr>
          <w:rStyle w:val="af4"/>
        </w:rPr>
        <w:footnoteReference w:id="4"/>
      </w:r>
      <w:bookmarkEnd w:id="9"/>
      <w:r w:rsidRPr="00A70A45">
        <w:t>。</w:t>
      </w:r>
    </w:p>
    <w:p w14:paraId="75D95DB6" w14:textId="6768A6D2" w:rsidR="00004536" w:rsidRPr="004A57FD" w:rsidRDefault="001D1C02" w:rsidP="004A57FD">
      <w:pPr>
        <w:pStyle w:val="003"/>
        <w:spacing w:before="156" w:after="156"/>
        <w:ind w:firstLine="482"/>
      </w:pPr>
      <w:bookmarkStart w:id="10" w:name="_Toc112089148"/>
      <w:bookmarkStart w:id="11" w:name="_Toc112915731"/>
      <w:r>
        <w:rPr>
          <w:rFonts w:hint="eastAsia"/>
        </w:rPr>
        <w:t>一</w:t>
      </w:r>
      <w:r w:rsidR="009252FC">
        <w:rPr>
          <w:rFonts w:hint="eastAsia"/>
        </w:rPr>
        <w:t>、</w:t>
      </w:r>
      <w:r w:rsidR="00004536" w:rsidRPr="004A57FD">
        <w:rPr>
          <w:rFonts w:hint="eastAsia"/>
        </w:rPr>
        <w:t>农业经济发展现状</w:t>
      </w:r>
      <w:bookmarkEnd w:id="10"/>
      <w:bookmarkEnd w:id="11"/>
    </w:p>
    <w:p w14:paraId="6219B50A" w14:textId="2C7C8BC1" w:rsidR="00004536" w:rsidRDefault="00E1562B" w:rsidP="004314C4">
      <w:pPr>
        <w:pStyle w:val="005"/>
        <w:ind w:firstLine="480"/>
      </w:pPr>
      <w:r>
        <w:rPr>
          <w:rFonts w:hint="eastAsia"/>
        </w:rPr>
        <w:t>绿春县全县</w:t>
      </w:r>
      <w:r>
        <w:t>2021</w:t>
      </w:r>
      <w:r>
        <w:rPr>
          <w:rFonts w:hint="eastAsia"/>
        </w:rPr>
        <w:t>年实现</w:t>
      </w:r>
      <w:r w:rsidRPr="00E1562B">
        <w:rPr>
          <w:rFonts w:hint="eastAsia"/>
        </w:rPr>
        <w:t>农林牧渔业总产值（现价）</w:t>
      </w:r>
      <w:r w:rsidRPr="00E1562B">
        <w:t>26</w:t>
      </w:r>
      <w:r w:rsidR="00C116A3" w:rsidRPr="00E1562B">
        <w:t>6</w:t>
      </w:r>
      <w:r w:rsidR="00C116A3">
        <w:t>,</w:t>
      </w:r>
      <w:r w:rsidR="00C116A3" w:rsidRPr="00E1562B">
        <w:t>528</w:t>
      </w:r>
      <w:r w:rsidRPr="00E1562B">
        <w:t>万元，同比增长</w:t>
      </w:r>
      <w:r w:rsidRPr="00E1562B">
        <w:t>10.3%</w:t>
      </w:r>
      <w:r w:rsidR="007C5167">
        <w:rPr>
          <w:rFonts w:hint="eastAsia"/>
        </w:rPr>
        <w:t>。</w:t>
      </w:r>
      <w:r w:rsidRPr="00E1562B">
        <w:t>其中</w:t>
      </w:r>
      <w:r w:rsidR="007C5167">
        <w:rPr>
          <w:rFonts w:hint="eastAsia"/>
        </w:rPr>
        <w:t>，</w:t>
      </w:r>
      <w:r w:rsidRPr="00E1562B">
        <w:t>农业产值</w:t>
      </w:r>
      <w:r w:rsidRPr="00E1562B">
        <w:t>101</w:t>
      </w:r>
      <w:r w:rsidR="00C116A3">
        <w:t>,</w:t>
      </w:r>
      <w:r w:rsidRPr="00E1562B">
        <w:t>259</w:t>
      </w:r>
      <w:r w:rsidRPr="00E1562B">
        <w:t>万元，同比增长</w:t>
      </w:r>
      <w:r w:rsidRPr="00E1562B">
        <w:t>2.9%</w:t>
      </w:r>
      <w:r w:rsidRPr="00E1562B">
        <w:t>；林业产值</w:t>
      </w:r>
      <w:r w:rsidRPr="00E1562B">
        <w:t>7</w:t>
      </w:r>
      <w:r w:rsidR="00C116A3" w:rsidRPr="00E1562B">
        <w:t>0</w:t>
      </w:r>
      <w:r w:rsidR="00C116A3">
        <w:t>,</w:t>
      </w:r>
      <w:r w:rsidR="00C116A3" w:rsidRPr="00E1562B">
        <w:t>088</w:t>
      </w:r>
      <w:r w:rsidRPr="00E1562B">
        <w:t>万元，同比增长</w:t>
      </w:r>
      <w:r w:rsidRPr="00E1562B">
        <w:t>28.4%</w:t>
      </w:r>
      <w:r w:rsidRPr="00E1562B">
        <w:t>；牧业产值</w:t>
      </w:r>
      <w:r w:rsidRPr="00E1562B">
        <w:t>8</w:t>
      </w:r>
      <w:r w:rsidR="00C116A3" w:rsidRPr="00E1562B">
        <w:t>2</w:t>
      </w:r>
      <w:r w:rsidR="00C116A3">
        <w:t>,</w:t>
      </w:r>
      <w:r w:rsidR="00C116A3" w:rsidRPr="00E1562B">
        <w:t>285</w:t>
      </w:r>
      <w:r w:rsidRPr="00E1562B">
        <w:t>万元，同比增长</w:t>
      </w:r>
      <w:r w:rsidRPr="00E1562B">
        <w:t>8.7%</w:t>
      </w:r>
      <w:r w:rsidRPr="00E1562B">
        <w:t>；渔业产值</w:t>
      </w:r>
      <w:r w:rsidR="00C116A3" w:rsidRPr="00E1562B">
        <w:t>5</w:t>
      </w:r>
      <w:r w:rsidR="00C116A3">
        <w:t>,</w:t>
      </w:r>
      <w:r w:rsidR="00C116A3" w:rsidRPr="00E1562B">
        <w:t>950</w:t>
      </w:r>
      <w:r w:rsidRPr="00E1562B">
        <w:t>万元，同比增长</w:t>
      </w:r>
      <w:r w:rsidRPr="00E1562B">
        <w:t>3.5%</w:t>
      </w:r>
      <w:r w:rsidRPr="00E1562B">
        <w:t>；农林牧渔服务业产值</w:t>
      </w:r>
      <w:r w:rsidR="00C116A3" w:rsidRPr="00E1562B">
        <w:t>6</w:t>
      </w:r>
      <w:r w:rsidR="00C116A3">
        <w:t>,</w:t>
      </w:r>
      <w:r w:rsidR="00C116A3" w:rsidRPr="00E1562B">
        <w:t>946</w:t>
      </w:r>
      <w:r w:rsidRPr="00E1562B">
        <w:t>万元，同比增长</w:t>
      </w:r>
      <w:r w:rsidRPr="00E1562B">
        <w:t>10.5%</w:t>
      </w:r>
      <w:r w:rsidR="0071391D" w:rsidRPr="0071391D">
        <w:rPr>
          <w:vertAlign w:val="superscript"/>
        </w:rPr>
        <w:fldChar w:fldCharType="begin"/>
      </w:r>
      <w:r w:rsidR="0071391D" w:rsidRPr="0071391D">
        <w:rPr>
          <w:vertAlign w:val="superscript"/>
        </w:rPr>
        <w:instrText xml:space="preserve"> NOTEREF _Ref112886850 \h </w:instrText>
      </w:r>
      <w:r w:rsidR="0071391D">
        <w:rPr>
          <w:vertAlign w:val="superscript"/>
        </w:rPr>
        <w:instrText xml:space="preserve"> \* MERGEFORMAT </w:instrText>
      </w:r>
      <w:r w:rsidR="0071391D" w:rsidRPr="0071391D">
        <w:rPr>
          <w:vertAlign w:val="superscript"/>
        </w:rPr>
      </w:r>
      <w:r w:rsidR="0071391D" w:rsidRPr="0071391D">
        <w:rPr>
          <w:vertAlign w:val="superscript"/>
        </w:rPr>
        <w:fldChar w:fldCharType="separate"/>
      </w:r>
      <w:r w:rsidR="00714EBD">
        <w:rPr>
          <w:vertAlign w:val="superscript"/>
        </w:rPr>
        <w:t>1</w:t>
      </w:r>
      <w:r w:rsidR="0071391D" w:rsidRPr="0071391D">
        <w:rPr>
          <w:vertAlign w:val="superscript"/>
        </w:rPr>
        <w:fldChar w:fldCharType="end"/>
      </w:r>
      <w:r w:rsidRPr="00E1562B">
        <w:t>。</w:t>
      </w:r>
      <w:r w:rsidR="008323D6">
        <w:rPr>
          <w:rFonts w:hint="eastAsia"/>
        </w:rPr>
        <w:t>2</w:t>
      </w:r>
      <w:r w:rsidR="008323D6">
        <w:t>021</w:t>
      </w:r>
      <w:r w:rsidR="008323D6">
        <w:rPr>
          <w:rFonts w:hint="eastAsia"/>
        </w:rPr>
        <w:t>年林业快速发展为绿春县农村经济的主要驱动力</w:t>
      </w:r>
      <w:r w:rsidR="00904912">
        <w:rPr>
          <w:rFonts w:hint="eastAsia"/>
        </w:rPr>
        <w:t>，绿春</w:t>
      </w:r>
      <w:proofErr w:type="gramStart"/>
      <w:r w:rsidR="00904912">
        <w:rPr>
          <w:rFonts w:hint="eastAsia"/>
        </w:rPr>
        <w:t>县</w:t>
      </w:r>
      <w:r w:rsidR="00C616C2">
        <w:rPr>
          <w:rFonts w:hint="eastAsia"/>
        </w:rPr>
        <w:t>总体</w:t>
      </w:r>
      <w:proofErr w:type="gramEnd"/>
      <w:r w:rsidR="00904912">
        <w:rPr>
          <w:rFonts w:hint="eastAsia"/>
        </w:rPr>
        <w:t>农业产值分布详见图</w:t>
      </w:r>
      <w:r w:rsidR="00904912">
        <w:rPr>
          <w:rFonts w:hint="eastAsia"/>
        </w:rPr>
        <w:t>1</w:t>
      </w:r>
      <w:r w:rsidR="008323D6">
        <w:rPr>
          <w:rFonts w:hint="eastAsia"/>
        </w:rPr>
        <w:t>。</w:t>
      </w:r>
    </w:p>
    <w:p w14:paraId="1B141621" w14:textId="77777777" w:rsidR="00C93C9C" w:rsidRPr="00BE64E4" w:rsidRDefault="00C93C9C" w:rsidP="004314C4">
      <w:pPr>
        <w:pStyle w:val="005"/>
        <w:ind w:firstLine="480"/>
      </w:pPr>
    </w:p>
    <w:p w14:paraId="44D13D62" w14:textId="75C9F6C5" w:rsidR="00365B4A" w:rsidRPr="00C116A3" w:rsidRDefault="00365B4A" w:rsidP="00002129">
      <w:pPr>
        <w:pStyle w:val="0040"/>
      </w:pPr>
      <w:r>
        <w:rPr>
          <w:noProof/>
        </w:rPr>
        <w:lastRenderedPageBreak/>
        <w:drawing>
          <wp:inline distT="0" distB="0" distL="0" distR="0" wp14:anchorId="5947729E" wp14:editId="1EB3F704">
            <wp:extent cx="4572000" cy="2221200"/>
            <wp:effectExtent l="0" t="0" r="0" b="8255"/>
            <wp:docPr id="1" name="图表 1">
              <a:extLst xmlns:a="http://schemas.openxmlformats.org/drawingml/2006/main">
                <a:ext uri="{FF2B5EF4-FFF2-40B4-BE49-F238E27FC236}">
                  <a16:creationId xmlns:a16="http://schemas.microsoft.com/office/drawing/2014/main" id="{EC04F915-1249-804F-947F-11009B4D08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3D5B8DD" w14:textId="747AF602" w:rsidR="00002129" w:rsidRDefault="00002129" w:rsidP="00002129">
      <w:pPr>
        <w:pStyle w:val="0040"/>
      </w:pPr>
      <w:r w:rsidRPr="00002129">
        <w:rPr>
          <w:rFonts w:hint="eastAsia"/>
        </w:rPr>
        <w:t>图</w:t>
      </w:r>
      <w:r w:rsidRPr="00002129">
        <w:rPr>
          <w:rFonts w:hint="eastAsia"/>
        </w:rPr>
        <w:t>1</w:t>
      </w:r>
      <w:r w:rsidR="00C93C9C">
        <w:rPr>
          <w:rFonts w:hint="eastAsia"/>
        </w:rPr>
        <w:t>：</w:t>
      </w:r>
      <w:r>
        <w:rPr>
          <w:rFonts w:hint="eastAsia"/>
        </w:rPr>
        <w:t>2</w:t>
      </w:r>
      <w:r>
        <w:t>021</w:t>
      </w:r>
      <w:r>
        <w:rPr>
          <w:rFonts w:hint="eastAsia"/>
        </w:rPr>
        <w:t>年绿春县农业</w:t>
      </w:r>
      <w:r w:rsidR="003A567D">
        <w:rPr>
          <w:rFonts w:hint="eastAsia"/>
        </w:rPr>
        <w:t>各分类</w:t>
      </w:r>
      <w:r>
        <w:rPr>
          <w:rFonts w:hint="eastAsia"/>
        </w:rPr>
        <w:t>产值比例</w:t>
      </w:r>
      <w:r w:rsidR="00156084">
        <w:rPr>
          <w:rFonts w:hint="eastAsia"/>
        </w:rPr>
        <w:t>（</w:t>
      </w:r>
      <w:r w:rsidR="00156084">
        <w:rPr>
          <w:rFonts w:hint="eastAsia"/>
        </w:rPr>
        <w:t>%</w:t>
      </w:r>
      <w:r w:rsidR="00156084">
        <w:rPr>
          <w:rFonts w:hint="eastAsia"/>
        </w:rPr>
        <w:t>）</w:t>
      </w:r>
    </w:p>
    <w:p w14:paraId="74059C24" w14:textId="565CAD0E" w:rsidR="00DE4753" w:rsidRPr="00002129" w:rsidRDefault="00DE4753" w:rsidP="00002129">
      <w:pPr>
        <w:pStyle w:val="0040"/>
      </w:pPr>
      <w:r>
        <w:rPr>
          <w:rFonts w:hint="eastAsia"/>
        </w:rPr>
        <w:t>数据来源：</w:t>
      </w:r>
      <w:r w:rsidRPr="00DE4753">
        <w:rPr>
          <w:rFonts w:hint="eastAsia"/>
        </w:rPr>
        <w:t>绿春县</w:t>
      </w:r>
      <w:r w:rsidRPr="00DE4753">
        <w:t>2021</w:t>
      </w:r>
      <w:r w:rsidRPr="00DE4753">
        <w:t>年国民经济和社会发展统计公报</w:t>
      </w:r>
    </w:p>
    <w:p w14:paraId="1F63CE61" w14:textId="77777777" w:rsidR="00275009" w:rsidRDefault="00275009" w:rsidP="004314C4">
      <w:pPr>
        <w:pStyle w:val="005"/>
        <w:ind w:firstLine="480"/>
      </w:pPr>
    </w:p>
    <w:p w14:paraId="003123F7" w14:textId="1ED3EBD1" w:rsidR="00272CE3" w:rsidRDefault="00272CE3" w:rsidP="004314C4">
      <w:pPr>
        <w:pStyle w:val="005"/>
        <w:ind w:firstLine="480"/>
      </w:pPr>
      <w:r w:rsidRPr="004314C4">
        <w:t>2021</w:t>
      </w:r>
      <w:r w:rsidRPr="004314C4">
        <w:rPr>
          <w:rFonts w:hint="eastAsia"/>
        </w:rPr>
        <w:t>年全县主要农、畜产品产量</w:t>
      </w:r>
      <w:r w:rsidR="008323D6" w:rsidRPr="004314C4">
        <w:rPr>
          <w:rFonts w:hint="eastAsia"/>
        </w:rPr>
        <w:t>实现粮食</w:t>
      </w:r>
      <w:r w:rsidR="008323D6" w:rsidRPr="004314C4">
        <w:rPr>
          <w:rFonts w:hint="eastAsia"/>
        </w:rPr>
        <w:t>1</w:t>
      </w:r>
      <w:r w:rsidR="008323D6" w:rsidRPr="004314C4">
        <w:t>12</w:t>
      </w:r>
      <w:r w:rsidR="0089024B">
        <w:t>,</w:t>
      </w:r>
      <w:r w:rsidR="008323D6" w:rsidRPr="004314C4">
        <w:t>092</w:t>
      </w:r>
      <w:r w:rsidR="008323D6" w:rsidRPr="004314C4">
        <w:rPr>
          <w:rFonts w:hint="eastAsia"/>
        </w:rPr>
        <w:t>吨、蔬菜</w:t>
      </w:r>
      <w:r w:rsidR="008323D6" w:rsidRPr="004314C4">
        <w:t>21</w:t>
      </w:r>
      <w:r w:rsidR="0089024B">
        <w:t>,</w:t>
      </w:r>
      <w:r w:rsidR="008323D6" w:rsidRPr="004314C4">
        <w:t>295.54</w:t>
      </w:r>
      <w:r w:rsidR="008323D6" w:rsidRPr="004314C4">
        <w:rPr>
          <w:rFonts w:hint="eastAsia"/>
        </w:rPr>
        <w:t>吨、茶叶</w:t>
      </w:r>
      <w:r w:rsidR="008323D6" w:rsidRPr="004314C4">
        <w:rPr>
          <w:rFonts w:hint="eastAsia"/>
        </w:rPr>
        <w:t>2</w:t>
      </w:r>
      <w:r w:rsidR="008323D6" w:rsidRPr="004314C4">
        <w:t>3</w:t>
      </w:r>
      <w:r w:rsidR="0089024B">
        <w:t>,</w:t>
      </w:r>
      <w:r w:rsidR="008323D6" w:rsidRPr="004314C4">
        <w:t>908.1</w:t>
      </w:r>
      <w:r w:rsidR="008323D6" w:rsidRPr="004314C4">
        <w:rPr>
          <w:rFonts w:hint="eastAsia"/>
        </w:rPr>
        <w:t>吨、水果</w:t>
      </w:r>
      <w:r w:rsidR="008323D6" w:rsidRPr="004314C4">
        <w:t>55</w:t>
      </w:r>
      <w:r w:rsidR="0089024B">
        <w:t>,</w:t>
      </w:r>
      <w:r w:rsidR="008323D6" w:rsidRPr="004314C4">
        <w:t>619.5</w:t>
      </w:r>
      <w:r w:rsidR="008323D6" w:rsidRPr="004314C4">
        <w:rPr>
          <w:rFonts w:hint="eastAsia"/>
        </w:rPr>
        <w:t>吨及肉类</w:t>
      </w:r>
      <w:r w:rsidR="008323D6" w:rsidRPr="004314C4">
        <w:rPr>
          <w:rFonts w:hint="eastAsia"/>
        </w:rPr>
        <w:t>1</w:t>
      </w:r>
      <w:r w:rsidR="008323D6" w:rsidRPr="004314C4">
        <w:t>4</w:t>
      </w:r>
      <w:r w:rsidR="0089024B">
        <w:t>,</w:t>
      </w:r>
      <w:r w:rsidR="008323D6" w:rsidRPr="004314C4">
        <w:t>486</w:t>
      </w:r>
      <w:r w:rsidR="008323D6" w:rsidRPr="004314C4">
        <w:rPr>
          <w:rFonts w:hint="eastAsia"/>
        </w:rPr>
        <w:t>吨</w:t>
      </w:r>
      <w:r w:rsidR="00BE64E4">
        <w:rPr>
          <w:rStyle w:val="af4"/>
        </w:rPr>
        <w:footnoteReference w:id="5"/>
      </w:r>
      <w:r w:rsidR="008323D6" w:rsidRPr="004314C4">
        <w:rPr>
          <w:rFonts w:hint="eastAsia"/>
        </w:rPr>
        <w:t>。其中茶叶</w:t>
      </w:r>
      <w:r w:rsidR="008425AA" w:rsidRPr="004314C4">
        <w:rPr>
          <w:rFonts w:hint="eastAsia"/>
        </w:rPr>
        <w:t>作为绿春县农业的主要产品，也是全县重点发展的产业之一，全年茶叶产量占所有农</w:t>
      </w:r>
      <w:r w:rsidR="008B1B03" w:rsidRPr="004314C4">
        <w:rPr>
          <w:rFonts w:hint="eastAsia"/>
        </w:rPr>
        <w:t>、</w:t>
      </w:r>
      <w:r w:rsidR="008425AA" w:rsidRPr="004314C4">
        <w:rPr>
          <w:rFonts w:hint="eastAsia"/>
        </w:rPr>
        <w:t>畜产品产量的</w:t>
      </w:r>
      <w:r w:rsidR="008425AA" w:rsidRPr="004314C4">
        <w:t>10.51%</w:t>
      </w:r>
      <w:r w:rsidR="00320BE4">
        <w:rPr>
          <w:rFonts w:hint="eastAsia"/>
        </w:rPr>
        <w:t>。</w:t>
      </w:r>
      <w:r w:rsidR="00BE64E4">
        <w:rPr>
          <w:rFonts w:hint="eastAsia"/>
        </w:rPr>
        <w:t>其他农产品产量分布详见图</w:t>
      </w:r>
      <w:r w:rsidR="00BE64E4">
        <w:rPr>
          <w:rFonts w:hint="eastAsia"/>
        </w:rPr>
        <w:t>2</w:t>
      </w:r>
      <w:r w:rsidR="008425AA" w:rsidRPr="004314C4">
        <w:rPr>
          <w:rFonts w:hint="eastAsia"/>
        </w:rPr>
        <w:t>。全县所有农</w:t>
      </w:r>
      <w:r w:rsidR="008B1B03" w:rsidRPr="004314C4">
        <w:rPr>
          <w:rFonts w:hint="eastAsia"/>
        </w:rPr>
        <w:t>、</w:t>
      </w:r>
      <w:r w:rsidR="008425AA" w:rsidRPr="004314C4">
        <w:rPr>
          <w:rFonts w:hint="eastAsia"/>
        </w:rPr>
        <w:t>畜产品产量</w:t>
      </w:r>
      <w:r w:rsidR="008425AA" w:rsidRPr="004314C4">
        <w:t>2021</w:t>
      </w:r>
      <w:r w:rsidR="008425AA" w:rsidRPr="004314C4">
        <w:rPr>
          <w:rFonts w:hint="eastAsia"/>
        </w:rPr>
        <w:t>年均实现增长，其中增长迅速的品类为水果及蔬菜，同比</w:t>
      </w:r>
      <w:r w:rsidR="00531774">
        <w:rPr>
          <w:rFonts w:hint="eastAsia"/>
        </w:rPr>
        <w:t>增速</w:t>
      </w:r>
      <w:r w:rsidR="008425AA" w:rsidRPr="004314C4">
        <w:rPr>
          <w:rFonts w:hint="eastAsia"/>
        </w:rPr>
        <w:t>实现</w:t>
      </w:r>
      <w:r w:rsidR="008425AA" w:rsidRPr="004314C4">
        <w:rPr>
          <w:rFonts w:hint="eastAsia"/>
        </w:rPr>
        <w:t>7</w:t>
      </w:r>
      <w:r w:rsidR="008425AA" w:rsidRPr="004314C4">
        <w:t>4.20%</w:t>
      </w:r>
      <w:r w:rsidR="008425AA" w:rsidRPr="004314C4">
        <w:rPr>
          <w:rFonts w:hint="eastAsia"/>
        </w:rPr>
        <w:t>和</w:t>
      </w:r>
      <w:r w:rsidR="008425AA" w:rsidRPr="004314C4">
        <w:rPr>
          <w:rFonts w:hint="eastAsia"/>
        </w:rPr>
        <w:t>1</w:t>
      </w:r>
      <w:r w:rsidR="008425AA" w:rsidRPr="004314C4">
        <w:t>8.00%</w:t>
      </w:r>
      <w:r w:rsidR="008425AA" w:rsidRPr="004314C4">
        <w:rPr>
          <w:rFonts w:hint="eastAsia"/>
        </w:rPr>
        <w:t>。</w:t>
      </w:r>
    </w:p>
    <w:p w14:paraId="59972F0B" w14:textId="77777777" w:rsidR="00275009" w:rsidRPr="004314C4" w:rsidRDefault="00275009" w:rsidP="004314C4">
      <w:pPr>
        <w:pStyle w:val="005"/>
        <w:ind w:firstLine="480"/>
      </w:pPr>
    </w:p>
    <w:p w14:paraId="68C6A30C" w14:textId="24D8EDDF" w:rsidR="00002129" w:rsidRDefault="00272CE3" w:rsidP="00002129">
      <w:pPr>
        <w:pStyle w:val="0040"/>
      </w:pPr>
      <w:r>
        <w:rPr>
          <w:noProof/>
        </w:rPr>
        <w:drawing>
          <wp:inline distT="0" distB="0" distL="0" distR="0" wp14:anchorId="7D3E547A" wp14:editId="15ACD639">
            <wp:extent cx="4740275" cy="2211705"/>
            <wp:effectExtent l="0" t="0" r="3175" b="0"/>
            <wp:docPr id="2" name="图表 2">
              <a:extLst xmlns:a="http://schemas.openxmlformats.org/drawingml/2006/main">
                <a:ext uri="{FF2B5EF4-FFF2-40B4-BE49-F238E27FC236}">
                  <a16:creationId xmlns:a16="http://schemas.microsoft.com/office/drawing/2014/main" id="{C3416737-2FDB-7DEF-61C2-8835582ED3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12A4E44" w14:textId="2CC151DE" w:rsidR="00002129" w:rsidRDefault="00002129" w:rsidP="00002129">
      <w:pPr>
        <w:pStyle w:val="0040"/>
      </w:pPr>
      <w:r>
        <w:rPr>
          <w:rFonts w:hint="eastAsia"/>
        </w:rPr>
        <w:t>图</w:t>
      </w:r>
      <w:r>
        <w:t>2</w:t>
      </w:r>
      <w:r w:rsidR="008524C0">
        <w:rPr>
          <w:rFonts w:hint="eastAsia"/>
        </w:rPr>
        <w:t>：</w:t>
      </w:r>
      <w:r>
        <w:t>2021</w:t>
      </w:r>
      <w:r>
        <w:rPr>
          <w:rFonts w:hint="eastAsia"/>
        </w:rPr>
        <w:t>年绿春县主要农产品</w:t>
      </w:r>
      <w:r w:rsidR="00CA12A2">
        <w:rPr>
          <w:rFonts w:hint="eastAsia"/>
        </w:rPr>
        <w:t>产量比例</w:t>
      </w:r>
      <w:r w:rsidR="00156084">
        <w:rPr>
          <w:rFonts w:hint="eastAsia"/>
        </w:rPr>
        <w:t>（</w:t>
      </w:r>
      <w:r w:rsidR="00156084">
        <w:rPr>
          <w:rFonts w:hint="eastAsia"/>
        </w:rPr>
        <w:t>%</w:t>
      </w:r>
      <w:r w:rsidR="00156084">
        <w:rPr>
          <w:rFonts w:hint="eastAsia"/>
        </w:rPr>
        <w:t>）</w:t>
      </w:r>
    </w:p>
    <w:p w14:paraId="410165C3" w14:textId="699386B4" w:rsidR="00DE4753" w:rsidRDefault="00DE4753" w:rsidP="00002129">
      <w:pPr>
        <w:pStyle w:val="0040"/>
      </w:pPr>
      <w:r w:rsidRPr="00DE4753">
        <w:rPr>
          <w:rFonts w:hint="eastAsia"/>
        </w:rPr>
        <w:t>数据来源：绿春县</w:t>
      </w:r>
      <w:r w:rsidRPr="00DE4753">
        <w:t>2021</w:t>
      </w:r>
      <w:r w:rsidRPr="00DE4753">
        <w:t>年国民经济和社会发展统计公报</w:t>
      </w:r>
    </w:p>
    <w:p w14:paraId="5BA39E00" w14:textId="77777777" w:rsidR="00B5371F" w:rsidRDefault="00B5371F" w:rsidP="00002129">
      <w:pPr>
        <w:pStyle w:val="0040"/>
      </w:pPr>
    </w:p>
    <w:p w14:paraId="7FEC7064" w14:textId="64371303" w:rsidR="00422619" w:rsidRPr="004A57FD" w:rsidRDefault="009252FC" w:rsidP="004A57FD">
      <w:pPr>
        <w:pStyle w:val="003"/>
        <w:spacing w:before="156" w:after="156"/>
        <w:ind w:firstLine="482"/>
      </w:pPr>
      <w:bookmarkStart w:id="12" w:name="_Toc112089149"/>
      <w:bookmarkStart w:id="13" w:name="_Toc112915732"/>
      <w:r>
        <w:rPr>
          <w:rFonts w:hint="eastAsia"/>
        </w:rPr>
        <w:lastRenderedPageBreak/>
        <w:t>二、</w:t>
      </w:r>
      <w:r w:rsidR="00422619" w:rsidRPr="004A57FD">
        <w:rPr>
          <w:rFonts w:hint="eastAsia"/>
        </w:rPr>
        <w:t>工业</w:t>
      </w:r>
      <w:r w:rsidR="00B30AE8" w:rsidRPr="004A57FD">
        <w:rPr>
          <w:rFonts w:hint="eastAsia"/>
        </w:rPr>
        <w:t>经济</w:t>
      </w:r>
      <w:r w:rsidR="00422619" w:rsidRPr="004A57FD">
        <w:rPr>
          <w:rFonts w:hint="eastAsia"/>
        </w:rPr>
        <w:t>及固定资产</w:t>
      </w:r>
      <w:r w:rsidR="00B30AE8" w:rsidRPr="004A57FD">
        <w:rPr>
          <w:rFonts w:hint="eastAsia"/>
        </w:rPr>
        <w:t>投资</w:t>
      </w:r>
      <w:r w:rsidR="00422619" w:rsidRPr="004A57FD">
        <w:rPr>
          <w:rFonts w:hint="eastAsia"/>
        </w:rPr>
        <w:t>发展现状</w:t>
      </w:r>
      <w:bookmarkEnd w:id="12"/>
      <w:bookmarkEnd w:id="13"/>
    </w:p>
    <w:p w14:paraId="6EFE18E7" w14:textId="704F0B65" w:rsidR="009B1035" w:rsidRPr="004314C4" w:rsidRDefault="009B1035" w:rsidP="004314C4">
      <w:pPr>
        <w:pStyle w:val="005"/>
        <w:ind w:firstLine="480"/>
      </w:pPr>
      <w:r w:rsidRPr="004314C4">
        <w:rPr>
          <w:rFonts w:hint="eastAsia"/>
        </w:rPr>
        <w:t>绿春县全县</w:t>
      </w:r>
      <w:r w:rsidRPr="004314C4">
        <w:t>2021</w:t>
      </w:r>
      <w:r w:rsidRPr="004314C4">
        <w:rPr>
          <w:rFonts w:hint="eastAsia"/>
        </w:rPr>
        <w:t>年实现工业总产值</w:t>
      </w:r>
      <w:r w:rsidRPr="004314C4">
        <w:t>197</w:t>
      </w:r>
      <w:r w:rsidR="007C5167">
        <w:t>,</w:t>
      </w:r>
      <w:r w:rsidRPr="004314C4">
        <w:t>494.2</w:t>
      </w:r>
      <w:r w:rsidRPr="004314C4">
        <w:t>万元，同比增长</w:t>
      </w:r>
      <w:r w:rsidRPr="004314C4">
        <w:t>9.8</w:t>
      </w:r>
      <w:r w:rsidRPr="004314C4">
        <w:t>％</w:t>
      </w:r>
      <w:r w:rsidRPr="004314C4">
        <w:rPr>
          <w:rFonts w:hint="eastAsia"/>
        </w:rPr>
        <w:t>。从主要产品产量来看，全年水泥制造</w:t>
      </w:r>
      <w:r w:rsidRPr="004314C4">
        <w:t>85.5</w:t>
      </w:r>
      <w:r w:rsidRPr="004314C4">
        <w:t>万吨</w:t>
      </w:r>
      <w:r w:rsidR="007C5167">
        <w:rPr>
          <w:rFonts w:hint="eastAsia"/>
        </w:rPr>
        <w:t>，</w:t>
      </w:r>
      <w:r w:rsidRPr="004314C4">
        <w:t>同比增长</w:t>
      </w:r>
      <w:r w:rsidRPr="004314C4">
        <w:t>37.2%</w:t>
      </w:r>
      <w:r w:rsidRPr="004314C4">
        <w:t>；精制茶</w:t>
      </w:r>
      <w:r w:rsidRPr="004314C4">
        <w:t>471</w:t>
      </w:r>
      <w:r w:rsidRPr="004314C4">
        <w:t>吨，同比下降</w:t>
      </w:r>
      <w:r w:rsidRPr="004314C4">
        <w:t>26.9%</w:t>
      </w:r>
      <w:r w:rsidR="00531774">
        <w:rPr>
          <w:rFonts w:hint="eastAsia"/>
        </w:rPr>
        <w:t>；</w:t>
      </w:r>
      <w:r w:rsidRPr="004314C4">
        <w:t>自来水生产量</w:t>
      </w:r>
      <w:r w:rsidRPr="004314C4">
        <w:t>118.17</w:t>
      </w:r>
      <w:r w:rsidRPr="004314C4">
        <w:t>万立方米，同比增长</w:t>
      </w:r>
      <w:r w:rsidRPr="004314C4">
        <w:t>5.5%</w:t>
      </w:r>
      <w:r w:rsidR="00531774">
        <w:rPr>
          <w:rFonts w:hint="eastAsia"/>
        </w:rPr>
        <w:t>；</w:t>
      </w:r>
      <w:r w:rsidRPr="004314C4">
        <w:t>木质家具</w:t>
      </w:r>
      <w:r w:rsidRPr="004314C4">
        <w:t>4</w:t>
      </w:r>
      <w:r w:rsidR="007C5167">
        <w:t>,</w:t>
      </w:r>
      <w:r w:rsidRPr="004314C4">
        <w:t>483</w:t>
      </w:r>
      <w:r w:rsidRPr="004314C4">
        <w:t>件，同比增长</w:t>
      </w:r>
      <w:r w:rsidRPr="004314C4">
        <w:t>7.1%</w:t>
      </w:r>
      <w:r w:rsidR="00531774">
        <w:rPr>
          <w:rFonts w:hint="eastAsia"/>
        </w:rPr>
        <w:t>；</w:t>
      </w:r>
      <w:r w:rsidRPr="004314C4">
        <w:t>针织服装</w:t>
      </w:r>
      <w:r w:rsidRPr="004314C4">
        <w:t>2.26</w:t>
      </w:r>
      <w:r w:rsidRPr="004314C4">
        <w:t>万件，同比增长</w:t>
      </w:r>
      <w:r w:rsidRPr="004314C4">
        <w:t>8.6%</w:t>
      </w:r>
      <w:r w:rsidRPr="004314C4">
        <w:t>。</w:t>
      </w:r>
      <w:r w:rsidR="00744D70" w:rsidRPr="004314C4">
        <w:rPr>
          <w:rFonts w:hint="eastAsia"/>
        </w:rPr>
        <w:t>2</w:t>
      </w:r>
      <w:r w:rsidR="00744D70" w:rsidRPr="004314C4">
        <w:t>021</w:t>
      </w:r>
      <w:r w:rsidR="00744D70" w:rsidRPr="004314C4">
        <w:rPr>
          <w:rFonts w:hint="eastAsia"/>
        </w:rPr>
        <w:t>年全县</w:t>
      </w:r>
      <w:r w:rsidR="00034B66" w:rsidRPr="004314C4">
        <w:rPr>
          <w:rFonts w:hint="eastAsia"/>
        </w:rPr>
        <w:t>固定资产投资同比增长</w:t>
      </w:r>
      <w:r w:rsidR="00034B66" w:rsidRPr="004314C4">
        <w:t>27.4%</w:t>
      </w:r>
      <w:r w:rsidR="00034B66" w:rsidRPr="004314C4">
        <w:t>。分</w:t>
      </w:r>
      <w:r w:rsidR="00744D70" w:rsidRPr="004314C4">
        <w:rPr>
          <w:rFonts w:hint="eastAsia"/>
        </w:rPr>
        <w:t>产业来看</w:t>
      </w:r>
      <w:r w:rsidR="00034B66" w:rsidRPr="004314C4">
        <w:t>，第一产业投资下降</w:t>
      </w:r>
      <w:r w:rsidR="00034B66" w:rsidRPr="004314C4">
        <w:t>10.8%</w:t>
      </w:r>
      <w:r w:rsidR="00034B66" w:rsidRPr="004314C4">
        <w:t>，第二产业投资增长</w:t>
      </w:r>
      <w:r w:rsidR="00034B66" w:rsidRPr="004314C4">
        <w:t>84.3%</w:t>
      </w:r>
      <w:r w:rsidR="00034B66" w:rsidRPr="004314C4">
        <w:t>，第三产业投资增长</w:t>
      </w:r>
      <w:r w:rsidR="00034B66" w:rsidRPr="004314C4">
        <w:t>26.5%</w:t>
      </w:r>
      <w:r w:rsidR="00034B66" w:rsidRPr="004314C4">
        <w:t>；从重点行业看，公路运输业投资增长</w:t>
      </w:r>
      <w:r w:rsidR="00034B66" w:rsidRPr="004314C4">
        <w:t>82.7%</w:t>
      </w:r>
      <w:r w:rsidR="00034B66" w:rsidRPr="004314C4">
        <w:t>，房地产业投资下降</w:t>
      </w:r>
      <w:r w:rsidR="00034B66" w:rsidRPr="004314C4">
        <w:t>2.3%</w:t>
      </w:r>
      <w:r w:rsidR="00034B66" w:rsidRPr="004314C4">
        <w:t>，工业投资增长</w:t>
      </w:r>
      <w:r w:rsidR="00034B66" w:rsidRPr="004314C4">
        <w:t>84.3%</w:t>
      </w:r>
      <w:r w:rsidR="00034B66" w:rsidRPr="004314C4">
        <w:t>，水利投资下降</w:t>
      </w:r>
      <w:r w:rsidR="00034B66" w:rsidRPr="004314C4">
        <w:t>39.6%</w:t>
      </w:r>
      <w:r w:rsidR="00034B66" w:rsidRPr="004314C4">
        <w:t>，教育投资下降</w:t>
      </w:r>
      <w:r w:rsidR="00034B66" w:rsidRPr="004314C4">
        <w:t>54.2%</w:t>
      </w:r>
      <w:bookmarkStart w:id="14" w:name="_Ref112887664"/>
      <w:r w:rsidR="00FA205D">
        <w:rPr>
          <w:rStyle w:val="af4"/>
        </w:rPr>
        <w:footnoteReference w:id="6"/>
      </w:r>
      <w:bookmarkEnd w:id="14"/>
      <w:r w:rsidR="00034B66" w:rsidRPr="004314C4">
        <w:t>。</w:t>
      </w:r>
    </w:p>
    <w:p w14:paraId="72C5C508" w14:textId="3A3887D5" w:rsidR="00BE1357" w:rsidRPr="004314C4" w:rsidRDefault="00BE1357" w:rsidP="004314C4">
      <w:pPr>
        <w:pStyle w:val="005"/>
        <w:ind w:firstLine="480"/>
      </w:pPr>
      <w:r w:rsidRPr="004314C4">
        <w:rPr>
          <w:rFonts w:hint="eastAsia"/>
        </w:rPr>
        <w:t>截至</w:t>
      </w:r>
      <w:r w:rsidRPr="004314C4">
        <w:rPr>
          <w:rFonts w:hint="eastAsia"/>
        </w:rPr>
        <w:t>2</w:t>
      </w:r>
      <w:r w:rsidRPr="004314C4">
        <w:t>021</w:t>
      </w:r>
      <w:r w:rsidRPr="004314C4">
        <w:rPr>
          <w:rFonts w:hint="eastAsia"/>
        </w:rPr>
        <w:t>年，全县规模以上的企业有</w:t>
      </w:r>
      <w:r w:rsidRPr="004314C4">
        <w:t>9</w:t>
      </w:r>
      <w:r w:rsidRPr="004314C4">
        <w:rPr>
          <w:rFonts w:hint="eastAsia"/>
        </w:rPr>
        <w:t>家，重点分布在橡胶、茶叶、矿业、电力开发及水泥行业</w:t>
      </w:r>
      <w:bookmarkStart w:id="15" w:name="_Ref112887683"/>
      <w:r w:rsidR="00DB00CF">
        <w:rPr>
          <w:rStyle w:val="af4"/>
        </w:rPr>
        <w:footnoteReference w:id="7"/>
      </w:r>
      <w:bookmarkEnd w:id="15"/>
      <w:r w:rsidRPr="004314C4">
        <w:rPr>
          <w:rFonts w:hint="eastAsia"/>
        </w:rPr>
        <w:t>。</w:t>
      </w:r>
      <w:r w:rsidR="006B6FDB" w:rsidRPr="004314C4">
        <w:rPr>
          <w:rFonts w:hint="eastAsia"/>
        </w:rPr>
        <w:t>工业固定资产投资</w:t>
      </w:r>
      <w:r w:rsidR="0051480B" w:rsidRPr="004314C4">
        <w:rPr>
          <w:rFonts w:hint="eastAsia"/>
        </w:rPr>
        <w:t>主要以招商引资的形式进行，</w:t>
      </w:r>
      <w:r w:rsidR="006B6FDB" w:rsidRPr="004314C4">
        <w:t>2021</w:t>
      </w:r>
      <w:r w:rsidR="006B6FDB" w:rsidRPr="004314C4">
        <w:rPr>
          <w:rFonts w:hint="eastAsia"/>
        </w:rPr>
        <w:t>年度固定资产项目分别为云南林</w:t>
      </w:r>
      <w:proofErr w:type="gramStart"/>
      <w:r w:rsidR="006B6FDB" w:rsidRPr="004314C4">
        <w:rPr>
          <w:rFonts w:hint="eastAsia"/>
        </w:rPr>
        <w:t>益苏丫</w:t>
      </w:r>
      <w:proofErr w:type="gramEnd"/>
      <w:r w:rsidR="006B6FDB" w:rsidRPr="004314C4">
        <w:rPr>
          <w:rFonts w:hint="eastAsia"/>
        </w:rPr>
        <w:t>茶厂建设项目及绿春县共达水泥有限公司水泥磨机建设项目，全县继续保持以茶叶为主，水泥及其他重点行业为辅的工业建设格局。</w:t>
      </w:r>
    </w:p>
    <w:p w14:paraId="7392314F" w14:textId="3E78A6F0" w:rsidR="0051480B" w:rsidRPr="004A57FD" w:rsidRDefault="009252FC" w:rsidP="004A57FD">
      <w:pPr>
        <w:pStyle w:val="003"/>
        <w:spacing w:before="156" w:after="156"/>
        <w:ind w:firstLine="482"/>
      </w:pPr>
      <w:bookmarkStart w:id="16" w:name="_Toc112089150"/>
      <w:bookmarkStart w:id="17" w:name="_Toc112915733"/>
      <w:r>
        <w:rPr>
          <w:rFonts w:hint="eastAsia"/>
        </w:rPr>
        <w:t>三、</w:t>
      </w:r>
      <w:r w:rsidR="0051480B" w:rsidRPr="004A57FD">
        <w:rPr>
          <w:rFonts w:hint="eastAsia"/>
        </w:rPr>
        <w:t>服务及贸易行业发展现状</w:t>
      </w:r>
      <w:bookmarkEnd w:id="16"/>
      <w:bookmarkEnd w:id="17"/>
    </w:p>
    <w:p w14:paraId="4F119176" w14:textId="5B9A533C" w:rsidR="00701330" w:rsidRPr="004314C4" w:rsidRDefault="007D3579" w:rsidP="004314C4">
      <w:pPr>
        <w:pStyle w:val="005"/>
        <w:ind w:firstLine="480"/>
      </w:pPr>
      <w:r w:rsidRPr="004314C4">
        <w:rPr>
          <w:rFonts w:hint="eastAsia"/>
        </w:rPr>
        <w:t>2</w:t>
      </w:r>
      <w:r w:rsidRPr="004314C4">
        <w:t>021</w:t>
      </w:r>
      <w:r w:rsidRPr="004314C4">
        <w:rPr>
          <w:rFonts w:hint="eastAsia"/>
        </w:rPr>
        <w:t>年绿春县全县实现社会消费品零售总额</w:t>
      </w:r>
      <w:r w:rsidRPr="004314C4">
        <w:t>343</w:t>
      </w:r>
      <w:r w:rsidR="00A96269">
        <w:t>,</w:t>
      </w:r>
      <w:r w:rsidRPr="004314C4">
        <w:t>290.1</w:t>
      </w:r>
      <w:r w:rsidRPr="004314C4">
        <w:t>万元，同比增长</w:t>
      </w:r>
      <w:r w:rsidRPr="004314C4">
        <w:t>6.4%</w:t>
      </w:r>
      <w:r w:rsidRPr="004314C4">
        <w:t>。按销售单位所在地分，城镇实现消费品零售额</w:t>
      </w:r>
      <w:r w:rsidRPr="004314C4">
        <w:t>232</w:t>
      </w:r>
      <w:r w:rsidR="00E77E14">
        <w:t>,</w:t>
      </w:r>
      <w:r w:rsidRPr="004314C4">
        <w:t>628.2</w:t>
      </w:r>
      <w:r w:rsidRPr="004314C4">
        <w:t>万元，同比增长</w:t>
      </w:r>
      <w:r w:rsidRPr="004314C4">
        <w:t>6.0%</w:t>
      </w:r>
      <w:r w:rsidRPr="004314C4">
        <w:t>，乡村实现消费品零售额</w:t>
      </w:r>
      <w:r w:rsidRPr="004314C4">
        <w:t>110</w:t>
      </w:r>
      <w:r w:rsidR="00E77E14">
        <w:t>,</w:t>
      </w:r>
      <w:r w:rsidRPr="004314C4">
        <w:t>661.9</w:t>
      </w:r>
      <w:r w:rsidRPr="004314C4">
        <w:t>万元，同比增长</w:t>
      </w:r>
      <w:r w:rsidRPr="004314C4">
        <w:t>7.1%</w:t>
      </w:r>
      <w:r w:rsidRPr="004314C4">
        <w:t>；按消费形态</w:t>
      </w:r>
      <w:r w:rsidR="00E77E14">
        <w:rPr>
          <w:rFonts w:hint="eastAsia"/>
        </w:rPr>
        <w:t>划分</w:t>
      </w:r>
      <w:r w:rsidRPr="004314C4">
        <w:t>，实现餐饮收入</w:t>
      </w:r>
      <w:r w:rsidRPr="004314C4">
        <w:t>32</w:t>
      </w:r>
      <w:r w:rsidR="00E77E14">
        <w:t>,</w:t>
      </w:r>
      <w:r w:rsidRPr="004314C4">
        <w:t>584.7</w:t>
      </w:r>
      <w:r w:rsidRPr="004314C4">
        <w:t>万元，同比增长</w:t>
      </w:r>
      <w:r w:rsidRPr="004314C4">
        <w:t>9.1%</w:t>
      </w:r>
      <w:r w:rsidRPr="004314C4">
        <w:t>，实现商品零售额</w:t>
      </w:r>
      <w:r w:rsidRPr="004314C4">
        <w:t>310</w:t>
      </w:r>
      <w:r w:rsidR="00E77E14">
        <w:t>,</w:t>
      </w:r>
      <w:r w:rsidRPr="004314C4">
        <w:t>705.4</w:t>
      </w:r>
      <w:r w:rsidRPr="004314C4">
        <w:t>万元，同比增长</w:t>
      </w:r>
      <w:r w:rsidRPr="004314C4">
        <w:t>6.1%</w:t>
      </w:r>
      <w:r w:rsidR="005230FF" w:rsidRPr="005230FF">
        <w:rPr>
          <w:vertAlign w:val="superscript"/>
        </w:rPr>
        <w:fldChar w:fldCharType="begin"/>
      </w:r>
      <w:r w:rsidR="005230FF" w:rsidRPr="005230FF">
        <w:rPr>
          <w:vertAlign w:val="superscript"/>
        </w:rPr>
        <w:instrText xml:space="preserve"> NOTEREF _Ref112887664 \h </w:instrText>
      </w:r>
      <w:r w:rsidR="005230FF">
        <w:rPr>
          <w:vertAlign w:val="superscript"/>
        </w:rPr>
        <w:instrText xml:space="preserve"> \* MERGEFORMAT </w:instrText>
      </w:r>
      <w:r w:rsidR="005230FF" w:rsidRPr="005230FF">
        <w:rPr>
          <w:vertAlign w:val="superscript"/>
        </w:rPr>
      </w:r>
      <w:r w:rsidR="005230FF" w:rsidRPr="005230FF">
        <w:rPr>
          <w:vertAlign w:val="superscript"/>
        </w:rPr>
        <w:fldChar w:fldCharType="separate"/>
      </w:r>
      <w:r w:rsidR="00714EBD">
        <w:rPr>
          <w:vertAlign w:val="superscript"/>
        </w:rPr>
        <w:t>1</w:t>
      </w:r>
      <w:r w:rsidR="005230FF" w:rsidRPr="005230FF">
        <w:rPr>
          <w:vertAlign w:val="superscript"/>
        </w:rPr>
        <w:fldChar w:fldCharType="end"/>
      </w:r>
      <w:r w:rsidRPr="004314C4">
        <w:t>。</w:t>
      </w:r>
      <w:r w:rsidR="00170BD9" w:rsidRPr="004314C4">
        <w:rPr>
          <w:rFonts w:hint="eastAsia"/>
        </w:rPr>
        <w:t>居民消费品类主要以粮油食品、饮料、服装鞋帽及日用品类为主。体育娱乐用品及家用电器类</w:t>
      </w:r>
      <w:r w:rsidR="00AB152F">
        <w:rPr>
          <w:rFonts w:hint="eastAsia"/>
        </w:rPr>
        <w:t>零售额</w:t>
      </w:r>
      <w:r w:rsidR="00170BD9" w:rsidRPr="004314C4">
        <w:rPr>
          <w:rFonts w:hint="eastAsia"/>
        </w:rPr>
        <w:t>均实现</w:t>
      </w:r>
      <w:r w:rsidR="00170BD9" w:rsidRPr="004314C4">
        <w:t>10%</w:t>
      </w:r>
      <w:r w:rsidR="00170BD9" w:rsidRPr="004314C4">
        <w:rPr>
          <w:rFonts w:hint="eastAsia"/>
        </w:rPr>
        <w:t>以上的增长。</w:t>
      </w:r>
    </w:p>
    <w:p w14:paraId="700F57AC" w14:textId="7A1711DF" w:rsidR="00E77C91" w:rsidRPr="004314C4" w:rsidRDefault="00E77C91" w:rsidP="004314C4">
      <w:pPr>
        <w:pStyle w:val="005"/>
        <w:ind w:firstLine="480"/>
      </w:pPr>
      <w:r w:rsidRPr="004314C4">
        <w:rPr>
          <w:rFonts w:hint="eastAsia"/>
        </w:rPr>
        <w:t>绿春县积极推进电子商务发展</w:t>
      </w:r>
      <w:r w:rsidR="0064226F">
        <w:rPr>
          <w:rFonts w:hint="eastAsia"/>
        </w:rPr>
        <w:t>。</w:t>
      </w:r>
      <w:r w:rsidRPr="004314C4">
        <w:rPr>
          <w:rFonts w:hint="eastAsia"/>
        </w:rPr>
        <w:t>截至</w:t>
      </w:r>
      <w:r w:rsidRPr="004314C4">
        <w:t>2021</w:t>
      </w:r>
      <w:r w:rsidRPr="004314C4">
        <w:t>年，全县建成县级电子商务公共服务中心</w:t>
      </w:r>
      <w:r w:rsidRPr="004314C4">
        <w:t>1</w:t>
      </w:r>
      <w:r w:rsidRPr="004314C4">
        <w:t>个，乡镇电子商务服务站</w:t>
      </w:r>
      <w:r w:rsidRPr="004314C4">
        <w:t>9</w:t>
      </w:r>
      <w:r w:rsidRPr="004314C4">
        <w:t>个，村级电子商务服务点</w:t>
      </w:r>
      <w:r w:rsidRPr="004314C4">
        <w:t>44</w:t>
      </w:r>
      <w:r w:rsidRPr="004314C4">
        <w:t>个，县级物流配送中心</w:t>
      </w:r>
      <w:r w:rsidRPr="004314C4">
        <w:t>1</w:t>
      </w:r>
      <w:r w:rsidRPr="004314C4">
        <w:t>个，县级冷链仓储中心</w:t>
      </w:r>
      <w:r w:rsidRPr="004314C4">
        <w:t>1</w:t>
      </w:r>
      <w:r w:rsidRPr="004314C4">
        <w:t>个。电子商务培训共</w:t>
      </w:r>
      <w:r w:rsidRPr="004314C4">
        <w:t>52</w:t>
      </w:r>
      <w:r w:rsidRPr="004314C4">
        <w:t>期</w:t>
      </w:r>
      <w:r w:rsidRPr="004314C4">
        <w:t>3</w:t>
      </w:r>
      <w:r w:rsidR="00E77E14">
        <w:t>,</w:t>
      </w:r>
      <w:r w:rsidRPr="004314C4">
        <w:t>102</w:t>
      </w:r>
      <w:r w:rsidRPr="004314C4">
        <w:t>人次，其中贫困人口参训</w:t>
      </w:r>
      <w:r w:rsidRPr="004314C4">
        <w:t>1</w:t>
      </w:r>
      <w:r w:rsidR="00E77E14">
        <w:t>,</w:t>
      </w:r>
      <w:r w:rsidRPr="004314C4">
        <w:t>064</w:t>
      </w:r>
      <w:r w:rsidRPr="004314C4">
        <w:t>人次。打造区域公共品牌</w:t>
      </w:r>
      <w:r w:rsidRPr="004314C4">
        <w:t>1</w:t>
      </w:r>
      <w:r w:rsidRPr="004314C4">
        <w:t>个，县域品牌</w:t>
      </w:r>
      <w:r w:rsidRPr="004314C4">
        <w:t>2</w:t>
      </w:r>
      <w:r w:rsidRPr="004314C4">
        <w:t>个，安装智慧乡村应用系统</w:t>
      </w:r>
      <w:r w:rsidRPr="004314C4">
        <w:t>55</w:t>
      </w:r>
      <w:r w:rsidRPr="004314C4">
        <w:t>个，乡镇覆盖率</w:t>
      </w:r>
      <w:r w:rsidRPr="004314C4">
        <w:t>100%</w:t>
      </w:r>
      <w:r w:rsidRPr="004314C4">
        <w:t>，行政村覆盖率达到</w:t>
      </w:r>
      <w:r w:rsidRPr="004314C4">
        <w:t>50%</w:t>
      </w:r>
      <w:r w:rsidRPr="004314C4">
        <w:t>以上</w:t>
      </w:r>
      <w:r w:rsidR="005230FF" w:rsidRPr="005230FF">
        <w:rPr>
          <w:vertAlign w:val="superscript"/>
        </w:rPr>
        <w:fldChar w:fldCharType="begin"/>
      </w:r>
      <w:r w:rsidR="005230FF" w:rsidRPr="005230FF">
        <w:rPr>
          <w:vertAlign w:val="superscript"/>
        </w:rPr>
        <w:instrText xml:space="preserve"> NOTEREF _Ref112887683 \h  \* MERGEFORMAT </w:instrText>
      </w:r>
      <w:r w:rsidR="005230FF" w:rsidRPr="005230FF">
        <w:rPr>
          <w:vertAlign w:val="superscript"/>
        </w:rPr>
      </w:r>
      <w:r w:rsidR="005230FF" w:rsidRPr="005230FF">
        <w:rPr>
          <w:vertAlign w:val="superscript"/>
        </w:rPr>
        <w:fldChar w:fldCharType="separate"/>
      </w:r>
      <w:r w:rsidR="00714EBD">
        <w:rPr>
          <w:vertAlign w:val="superscript"/>
        </w:rPr>
        <w:t>1</w:t>
      </w:r>
      <w:r w:rsidR="005230FF" w:rsidRPr="005230FF">
        <w:rPr>
          <w:vertAlign w:val="superscript"/>
        </w:rPr>
        <w:fldChar w:fldCharType="end"/>
      </w:r>
      <w:r w:rsidRPr="004314C4">
        <w:t>。</w:t>
      </w:r>
      <w:r w:rsidRPr="004314C4">
        <w:rPr>
          <w:rFonts w:hint="eastAsia"/>
        </w:rPr>
        <w:t>电子商务快速发展是农村实现现代化发展的必经之路，电子商务有利于农村市场体系优化，促进城乡居民购买力及消费转型和升级，进而带动县内产业的良性循环及发展。</w:t>
      </w:r>
    </w:p>
    <w:p w14:paraId="129C493E" w14:textId="794BE826" w:rsidR="004433C5" w:rsidRPr="004A57FD" w:rsidRDefault="009252FC" w:rsidP="004A57FD">
      <w:pPr>
        <w:pStyle w:val="003"/>
        <w:spacing w:before="156" w:after="156"/>
        <w:ind w:firstLine="482"/>
      </w:pPr>
      <w:bookmarkStart w:id="18" w:name="_Toc112089151"/>
      <w:bookmarkStart w:id="19" w:name="_Toc112915734"/>
      <w:r>
        <w:rPr>
          <w:rFonts w:hint="eastAsia"/>
        </w:rPr>
        <w:lastRenderedPageBreak/>
        <w:t>四、</w:t>
      </w:r>
      <w:r w:rsidR="004433C5" w:rsidRPr="004A57FD">
        <w:rPr>
          <w:rFonts w:hint="eastAsia"/>
        </w:rPr>
        <w:t>文教卫</w:t>
      </w:r>
      <w:proofErr w:type="gramStart"/>
      <w:r w:rsidR="004433C5" w:rsidRPr="004A57FD">
        <w:rPr>
          <w:rFonts w:hint="eastAsia"/>
        </w:rPr>
        <w:t>体</w:t>
      </w:r>
      <w:r w:rsidR="00276A22" w:rsidRPr="004A57FD">
        <w:rPr>
          <w:rFonts w:hint="eastAsia"/>
        </w:rPr>
        <w:t>行业</w:t>
      </w:r>
      <w:proofErr w:type="gramEnd"/>
      <w:r w:rsidR="004433C5" w:rsidRPr="004A57FD">
        <w:rPr>
          <w:rFonts w:hint="eastAsia"/>
        </w:rPr>
        <w:t>发展现状</w:t>
      </w:r>
      <w:bookmarkEnd w:id="18"/>
      <w:bookmarkEnd w:id="19"/>
    </w:p>
    <w:p w14:paraId="353B319F" w14:textId="0FA8331F" w:rsidR="006003EC" w:rsidRPr="004314C4" w:rsidRDefault="006003EC" w:rsidP="004314C4">
      <w:pPr>
        <w:pStyle w:val="005"/>
        <w:ind w:firstLine="480"/>
      </w:pPr>
      <w:r w:rsidRPr="004314C4">
        <w:rPr>
          <w:rFonts w:hint="eastAsia"/>
        </w:rPr>
        <w:t>教育领域全县各类各级学校</w:t>
      </w:r>
      <w:r w:rsidRPr="004314C4">
        <w:t>199</w:t>
      </w:r>
      <w:r w:rsidRPr="004314C4">
        <w:t>所</w:t>
      </w:r>
      <w:r w:rsidR="0064226F">
        <w:rPr>
          <w:rFonts w:hint="eastAsia"/>
        </w:rPr>
        <w:t>。</w:t>
      </w:r>
      <w:r w:rsidRPr="004314C4">
        <w:t>其中</w:t>
      </w:r>
      <w:r w:rsidR="0064226F">
        <w:rPr>
          <w:rFonts w:hint="eastAsia"/>
        </w:rPr>
        <w:t>，</w:t>
      </w:r>
      <w:r w:rsidRPr="004314C4">
        <w:t>普通中学</w:t>
      </w:r>
      <w:r w:rsidRPr="004314C4">
        <w:t>11</w:t>
      </w:r>
      <w:r w:rsidRPr="004314C4">
        <w:t>所，职业中学</w:t>
      </w:r>
      <w:r w:rsidRPr="004314C4">
        <w:t>1</w:t>
      </w:r>
      <w:r w:rsidRPr="004314C4">
        <w:t>所，进修学校</w:t>
      </w:r>
      <w:r w:rsidRPr="004314C4">
        <w:t>1</w:t>
      </w:r>
      <w:r w:rsidRPr="004314C4">
        <w:t>所，普通小学</w:t>
      </w:r>
      <w:r w:rsidRPr="004314C4">
        <w:t>77</w:t>
      </w:r>
      <w:r w:rsidRPr="004314C4">
        <w:t>所，幼儿园</w:t>
      </w:r>
      <w:r w:rsidRPr="004314C4">
        <w:t>109</w:t>
      </w:r>
      <w:r w:rsidRPr="004314C4">
        <w:t>所。全县普通中学在校学生</w:t>
      </w:r>
      <w:r w:rsidRPr="004314C4">
        <w:t>12</w:t>
      </w:r>
      <w:r w:rsidR="0064226F">
        <w:t>,</w:t>
      </w:r>
      <w:r w:rsidRPr="004314C4">
        <w:t>225</w:t>
      </w:r>
      <w:r w:rsidRPr="004314C4">
        <w:t>人</w:t>
      </w:r>
      <w:r w:rsidR="00BF7447">
        <w:rPr>
          <w:rFonts w:hint="eastAsia"/>
        </w:rPr>
        <w:t>。</w:t>
      </w:r>
      <w:r w:rsidRPr="004314C4">
        <w:t>其中</w:t>
      </w:r>
      <w:r w:rsidR="00BF7447">
        <w:rPr>
          <w:rFonts w:hint="eastAsia"/>
        </w:rPr>
        <w:t>，</w:t>
      </w:r>
      <w:r w:rsidRPr="004314C4">
        <w:t>初中在校学生</w:t>
      </w:r>
      <w:r w:rsidRPr="004314C4">
        <w:t>9</w:t>
      </w:r>
      <w:r w:rsidR="0064226F">
        <w:t>,</w:t>
      </w:r>
      <w:r w:rsidRPr="004314C4">
        <w:t>052</w:t>
      </w:r>
      <w:r w:rsidRPr="004314C4">
        <w:t>人，高级中学在校学生</w:t>
      </w:r>
      <w:r w:rsidRPr="004314C4">
        <w:t>3</w:t>
      </w:r>
      <w:r w:rsidR="0064226F">
        <w:t>,</w:t>
      </w:r>
      <w:r w:rsidRPr="004314C4">
        <w:t>173</w:t>
      </w:r>
      <w:r w:rsidRPr="004314C4">
        <w:t>人；初中毛入学率</w:t>
      </w:r>
      <w:r w:rsidRPr="004314C4">
        <w:t>100.02%</w:t>
      </w:r>
      <w:r w:rsidRPr="004314C4">
        <w:t>。普通小学在校学生</w:t>
      </w:r>
      <w:r w:rsidRPr="004314C4">
        <w:t>23</w:t>
      </w:r>
      <w:r w:rsidR="0064226F">
        <w:t>,</w:t>
      </w:r>
      <w:r w:rsidRPr="004314C4">
        <w:t>491</w:t>
      </w:r>
      <w:r w:rsidRPr="004314C4">
        <w:t>人，小学学龄儿童纯入学率达</w:t>
      </w:r>
      <w:r w:rsidRPr="004314C4">
        <w:t>99.88%</w:t>
      </w:r>
      <w:r w:rsidRPr="004314C4">
        <w:t>，小学学龄儿童升学率</w:t>
      </w:r>
      <w:r w:rsidRPr="004314C4">
        <w:t>100%</w:t>
      </w:r>
      <w:r w:rsidRPr="004314C4">
        <w:t>；普通中学专任教师</w:t>
      </w:r>
      <w:r w:rsidRPr="004314C4">
        <w:t>898</w:t>
      </w:r>
      <w:r w:rsidRPr="004314C4">
        <w:t>人，职业中学专任教师</w:t>
      </w:r>
      <w:r w:rsidRPr="004314C4">
        <w:t>28</w:t>
      </w:r>
      <w:r w:rsidRPr="004314C4">
        <w:t>人，普通小学专任教师</w:t>
      </w:r>
      <w:r w:rsidRPr="004314C4">
        <w:t>1</w:t>
      </w:r>
      <w:r w:rsidR="0064226F">
        <w:t>,</w:t>
      </w:r>
      <w:r w:rsidRPr="004314C4">
        <w:t>112</w:t>
      </w:r>
      <w:r w:rsidRPr="004314C4">
        <w:t>人。各级各类学校校舍建筑总面积达</w:t>
      </w:r>
      <w:r w:rsidRPr="004314C4">
        <w:t>509</w:t>
      </w:r>
      <w:r w:rsidR="0064226F">
        <w:t>,</w:t>
      </w:r>
      <w:r w:rsidRPr="004314C4">
        <w:t>584.44</w:t>
      </w:r>
      <w:r w:rsidRPr="004314C4">
        <w:t>平方米，同比下降</w:t>
      </w:r>
      <w:r w:rsidRPr="004314C4">
        <w:t>0.37%</w:t>
      </w:r>
      <w:r w:rsidRPr="004314C4">
        <w:t>。</w:t>
      </w:r>
    </w:p>
    <w:p w14:paraId="73664792" w14:textId="20C78F85" w:rsidR="00AF023B" w:rsidRPr="004314C4" w:rsidRDefault="00AF023B" w:rsidP="004314C4">
      <w:pPr>
        <w:pStyle w:val="005"/>
        <w:ind w:firstLine="480"/>
      </w:pPr>
      <w:r w:rsidRPr="004314C4">
        <w:rPr>
          <w:rFonts w:hint="eastAsia"/>
        </w:rPr>
        <w:t>医院及卫生机构领域，全县目前共有卫生机构</w:t>
      </w:r>
      <w:r w:rsidRPr="004314C4">
        <w:t>114</w:t>
      </w:r>
      <w:r w:rsidRPr="004314C4">
        <w:t>个，其中：医院</w:t>
      </w:r>
      <w:r w:rsidRPr="004314C4">
        <w:t>6</w:t>
      </w:r>
      <w:r w:rsidRPr="004314C4">
        <w:t>个，卫生院</w:t>
      </w:r>
      <w:r w:rsidRPr="004314C4">
        <w:t>9</w:t>
      </w:r>
      <w:r w:rsidRPr="004314C4">
        <w:t>个，村卫生室</w:t>
      </w:r>
      <w:r w:rsidRPr="004314C4">
        <w:t>84</w:t>
      </w:r>
      <w:r w:rsidRPr="004314C4">
        <w:t>个。卫生机构拥有床位数</w:t>
      </w:r>
      <w:r w:rsidRPr="004314C4">
        <w:t>852</w:t>
      </w:r>
      <w:r w:rsidRPr="004314C4">
        <w:t>张，其中：医院</w:t>
      </w:r>
      <w:r w:rsidRPr="004314C4">
        <w:t>685</w:t>
      </w:r>
      <w:r w:rsidRPr="004314C4">
        <w:t>张，卫生院</w:t>
      </w:r>
      <w:r w:rsidRPr="004314C4">
        <w:t>286</w:t>
      </w:r>
      <w:r w:rsidRPr="004314C4">
        <w:t>张；人员</w:t>
      </w:r>
      <w:r w:rsidRPr="004314C4">
        <w:t>1</w:t>
      </w:r>
      <w:r w:rsidR="0064226F">
        <w:t>,</w:t>
      </w:r>
      <w:r w:rsidRPr="004314C4">
        <w:t>631</w:t>
      </w:r>
      <w:r w:rsidRPr="004314C4">
        <w:t>人</w:t>
      </w:r>
      <w:r w:rsidR="0064226F">
        <w:rPr>
          <w:rFonts w:hint="eastAsia"/>
        </w:rPr>
        <w:t>。</w:t>
      </w:r>
      <w:r w:rsidRPr="004314C4">
        <w:t>其中</w:t>
      </w:r>
      <w:r w:rsidR="0064226F">
        <w:rPr>
          <w:rFonts w:hint="eastAsia"/>
        </w:rPr>
        <w:t>，</w:t>
      </w:r>
      <w:r w:rsidRPr="004314C4">
        <w:t>卫生技术人员</w:t>
      </w:r>
      <w:r w:rsidRPr="004314C4">
        <w:t>1</w:t>
      </w:r>
      <w:r w:rsidR="00093063">
        <w:t>,</w:t>
      </w:r>
      <w:r w:rsidRPr="004314C4">
        <w:t>367</w:t>
      </w:r>
      <w:r w:rsidRPr="004314C4">
        <w:t>人，执业（助理）医师</w:t>
      </w:r>
      <w:r w:rsidRPr="004314C4">
        <w:t>279</w:t>
      </w:r>
      <w:r w:rsidRPr="004314C4">
        <w:t>人。每千人拥有床位</w:t>
      </w:r>
      <w:r w:rsidRPr="004314C4">
        <w:t>3.55</w:t>
      </w:r>
      <w:r w:rsidRPr="004314C4">
        <w:t>张，每千人拥有卫生技术人员</w:t>
      </w:r>
      <w:r w:rsidRPr="004314C4">
        <w:t>6.5</w:t>
      </w:r>
      <w:r w:rsidRPr="004314C4">
        <w:t>人</w:t>
      </w:r>
      <w:r w:rsidRPr="004314C4">
        <w:rPr>
          <w:rFonts w:hint="eastAsia"/>
        </w:rPr>
        <w:t>。</w:t>
      </w:r>
    </w:p>
    <w:p w14:paraId="145FBD93" w14:textId="75DE468B" w:rsidR="009252FC" w:rsidRDefault="006003EC" w:rsidP="004314C4">
      <w:pPr>
        <w:pStyle w:val="005"/>
        <w:ind w:firstLine="480"/>
      </w:pPr>
      <w:r w:rsidRPr="004314C4">
        <w:rPr>
          <w:rFonts w:hint="eastAsia"/>
        </w:rPr>
        <w:t>文化传播领域，全县有艺术表演团体</w:t>
      </w:r>
      <w:r w:rsidRPr="004314C4">
        <w:t>1</w:t>
      </w:r>
      <w:r w:rsidRPr="004314C4">
        <w:t>个，博物馆</w:t>
      </w:r>
      <w:r w:rsidRPr="004314C4">
        <w:t>1</w:t>
      </w:r>
      <w:r w:rsidRPr="004314C4">
        <w:t>个，文化站</w:t>
      </w:r>
      <w:r w:rsidRPr="004314C4">
        <w:t>9</w:t>
      </w:r>
      <w:r w:rsidRPr="004314C4">
        <w:t>个，电视台</w:t>
      </w:r>
      <w:r w:rsidRPr="004314C4">
        <w:t>1</w:t>
      </w:r>
      <w:r w:rsidRPr="004314C4">
        <w:t>座。全县广播人口覆盖率达</w:t>
      </w:r>
      <w:r w:rsidRPr="004314C4">
        <w:t>99.43%</w:t>
      </w:r>
      <w:r w:rsidRPr="004314C4">
        <w:t>，电视人口覆盖率</w:t>
      </w:r>
      <w:r w:rsidRPr="004314C4">
        <w:t>99.48%</w:t>
      </w:r>
      <w:r w:rsidR="001C242F">
        <w:rPr>
          <w:rStyle w:val="af4"/>
        </w:rPr>
        <w:footnoteReference w:id="8"/>
      </w:r>
      <w:r w:rsidRPr="004314C4">
        <w:t>。</w:t>
      </w:r>
    </w:p>
    <w:p w14:paraId="6C894F71" w14:textId="77777777" w:rsidR="009252FC" w:rsidRDefault="009252FC">
      <w:pPr>
        <w:widowControl/>
        <w:numPr>
          <w:ilvl w:val="0"/>
          <w:numId w:val="0"/>
        </w:numPr>
        <w:jc w:val="left"/>
        <w:rPr>
          <w:rFonts w:ascii="Times New Roman" w:eastAsia="宋体" w:hAnsi="Times New Roman" w:cs="Times New Roman"/>
          <w:sz w:val="24"/>
        </w:rPr>
      </w:pPr>
      <w:r>
        <w:br w:type="page"/>
      </w:r>
    </w:p>
    <w:p w14:paraId="5B822C87" w14:textId="0837AF05" w:rsidR="006B63B2" w:rsidRPr="004314C4" w:rsidRDefault="009252FC" w:rsidP="00326CD3">
      <w:pPr>
        <w:pStyle w:val="001"/>
        <w:spacing w:before="156" w:after="156"/>
      </w:pPr>
      <w:bookmarkStart w:id="20" w:name="_Toc112089152"/>
      <w:bookmarkStart w:id="21" w:name="_Toc112915735"/>
      <w:r>
        <w:rPr>
          <w:rFonts w:hint="eastAsia"/>
        </w:rPr>
        <w:lastRenderedPageBreak/>
        <w:t>第二章</w:t>
      </w:r>
      <w:r>
        <w:rPr>
          <w:rFonts w:hint="eastAsia"/>
        </w:rPr>
        <w:t xml:space="preserve"> </w:t>
      </w:r>
      <w:r w:rsidR="006B63B2" w:rsidRPr="004314C4">
        <w:rPr>
          <w:rFonts w:hint="eastAsia"/>
        </w:rPr>
        <w:t>绿春县重点行业领域发展存在的问题</w:t>
      </w:r>
      <w:bookmarkEnd w:id="20"/>
      <w:bookmarkEnd w:id="21"/>
    </w:p>
    <w:p w14:paraId="6BC19A2C" w14:textId="72521D3C" w:rsidR="006B63B2" w:rsidRPr="003C7135" w:rsidRDefault="006B63B2" w:rsidP="003C7135">
      <w:pPr>
        <w:pStyle w:val="005"/>
        <w:ind w:firstLine="480"/>
      </w:pPr>
      <w:r w:rsidRPr="003C7135">
        <w:rPr>
          <w:rFonts w:hint="eastAsia"/>
        </w:rPr>
        <w:t>本次调研通过展开集中座谈会问答、相关负责人访谈及实地走访等方式，</w:t>
      </w:r>
      <w:r w:rsidR="001C7D40" w:rsidRPr="003C7135">
        <w:rPr>
          <w:rFonts w:hint="eastAsia"/>
        </w:rPr>
        <w:t>深入了解绿春县经济发展现状及资源禀赋。同时，调研组针对绿春县重点行业领域发展存在的困境和问题进行了总结</w:t>
      </w:r>
      <w:r w:rsidR="002A0C68" w:rsidRPr="003C7135">
        <w:rPr>
          <w:rFonts w:hint="eastAsia"/>
        </w:rPr>
        <w:t>。</w:t>
      </w:r>
    </w:p>
    <w:p w14:paraId="53388619" w14:textId="22F51369" w:rsidR="002A0C68" w:rsidRPr="004314C4" w:rsidRDefault="009252FC" w:rsidP="00326CD3">
      <w:pPr>
        <w:pStyle w:val="002"/>
        <w:spacing w:before="156" w:after="156"/>
      </w:pPr>
      <w:bookmarkStart w:id="22" w:name="_Toc112089153"/>
      <w:bookmarkStart w:id="23" w:name="_Toc112915736"/>
      <w:r>
        <w:rPr>
          <w:rFonts w:hint="eastAsia"/>
        </w:rPr>
        <w:t>第一节</w:t>
      </w:r>
      <w:r>
        <w:rPr>
          <w:rFonts w:hint="eastAsia"/>
        </w:rPr>
        <w:t xml:space="preserve"> </w:t>
      </w:r>
      <w:r w:rsidR="00B424CA" w:rsidRPr="004314C4">
        <w:rPr>
          <w:rFonts w:hint="eastAsia"/>
        </w:rPr>
        <w:t>“一县</w:t>
      </w:r>
      <w:proofErr w:type="gramStart"/>
      <w:r w:rsidR="00B424CA" w:rsidRPr="004314C4">
        <w:rPr>
          <w:rFonts w:hint="eastAsia"/>
        </w:rPr>
        <w:t>一</w:t>
      </w:r>
      <w:proofErr w:type="gramEnd"/>
      <w:r w:rsidR="00B424CA" w:rsidRPr="004314C4">
        <w:rPr>
          <w:rFonts w:hint="eastAsia"/>
        </w:rPr>
        <w:t>业”</w:t>
      </w:r>
      <w:r w:rsidR="00867DEF" w:rsidRPr="004314C4">
        <w:rPr>
          <w:rFonts w:hint="eastAsia"/>
        </w:rPr>
        <w:t>仍在路上</w:t>
      </w:r>
      <w:r w:rsidR="00B424CA" w:rsidRPr="004314C4">
        <w:rPr>
          <w:rFonts w:hint="eastAsia"/>
        </w:rPr>
        <w:t>——绿春</w:t>
      </w:r>
      <w:r w:rsidR="00F34D9F">
        <w:rPr>
          <w:rFonts w:hint="eastAsia"/>
        </w:rPr>
        <w:t>茶</w:t>
      </w:r>
      <w:proofErr w:type="gramStart"/>
      <w:r w:rsidR="00F34D9F">
        <w:rPr>
          <w:rFonts w:hint="eastAsia"/>
        </w:rPr>
        <w:t>叶</w:t>
      </w:r>
      <w:r w:rsidR="002638FB" w:rsidRPr="004314C4">
        <w:rPr>
          <w:rFonts w:hint="eastAsia"/>
        </w:rPr>
        <w:t>行业</w:t>
      </w:r>
      <w:proofErr w:type="gramEnd"/>
      <w:r w:rsidR="00B424CA" w:rsidRPr="004314C4">
        <w:rPr>
          <w:rFonts w:hint="eastAsia"/>
        </w:rPr>
        <w:t>发展瓶颈</w:t>
      </w:r>
      <w:bookmarkEnd w:id="22"/>
      <w:bookmarkEnd w:id="23"/>
    </w:p>
    <w:p w14:paraId="44199744" w14:textId="27F62FA5" w:rsidR="00957380" w:rsidRPr="004314C4" w:rsidRDefault="00207E44" w:rsidP="004314C4">
      <w:pPr>
        <w:pStyle w:val="005"/>
        <w:ind w:firstLine="480"/>
      </w:pPr>
      <w:r w:rsidRPr="004314C4">
        <w:rPr>
          <w:rFonts w:hint="eastAsia"/>
        </w:rPr>
        <w:t>地处黄连山腹地的绿春县，茶叶种植历史悠久。</w:t>
      </w:r>
      <w:r w:rsidR="00867EF9" w:rsidRPr="004314C4">
        <w:rPr>
          <w:rFonts w:hint="eastAsia"/>
        </w:rPr>
        <w:t>上万株年份及品种各异的茶树分布在全县的优质土地上。虽然绿春茶作为全县“一县</w:t>
      </w:r>
      <w:proofErr w:type="gramStart"/>
      <w:r w:rsidR="00867EF9" w:rsidRPr="004314C4">
        <w:rPr>
          <w:rFonts w:hint="eastAsia"/>
        </w:rPr>
        <w:t>一</w:t>
      </w:r>
      <w:proofErr w:type="gramEnd"/>
      <w:r w:rsidR="00867EF9" w:rsidRPr="004314C4">
        <w:rPr>
          <w:rFonts w:hint="eastAsia"/>
        </w:rPr>
        <w:t>业”的重点发展行业，</w:t>
      </w:r>
      <w:r w:rsidR="001A6899" w:rsidRPr="004314C4">
        <w:rPr>
          <w:rFonts w:hint="eastAsia"/>
        </w:rPr>
        <w:t>但</w:t>
      </w:r>
      <w:r w:rsidR="00867EF9" w:rsidRPr="004314C4">
        <w:rPr>
          <w:rFonts w:hint="eastAsia"/>
        </w:rPr>
        <w:t>长期以来绿春茶产业始终存在大而不强的发展瓶颈</w:t>
      </w:r>
      <w:r w:rsidR="001A6899" w:rsidRPr="004314C4">
        <w:rPr>
          <w:rFonts w:hint="eastAsia"/>
        </w:rPr>
        <w:t>，主要</w:t>
      </w:r>
      <w:r w:rsidR="003C7135">
        <w:rPr>
          <w:rFonts w:hint="eastAsia"/>
        </w:rPr>
        <w:t>存在</w:t>
      </w:r>
      <w:r w:rsidR="001A6899" w:rsidRPr="004314C4">
        <w:rPr>
          <w:rFonts w:hint="eastAsia"/>
        </w:rPr>
        <w:t>以下几个方面：</w:t>
      </w:r>
    </w:p>
    <w:p w14:paraId="504DB9DF" w14:textId="042B640D" w:rsidR="001A6899" w:rsidRPr="004314C4" w:rsidRDefault="003F4EC3" w:rsidP="004314C4">
      <w:pPr>
        <w:pStyle w:val="005"/>
        <w:ind w:firstLine="480"/>
      </w:pPr>
      <w:r w:rsidRPr="004314C4">
        <w:rPr>
          <w:rFonts w:hint="eastAsia"/>
        </w:rPr>
        <w:t>茶叶</w:t>
      </w:r>
      <w:r w:rsidR="001A6899" w:rsidRPr="004314C4">
        <w:rPr>
          <w:rFonts w:hint="eastAsia"/>
        </w:rPr>
        <w:t>行业人才短缺</w:t>
      </w:r>
      <w:r w:rsidR="00637175" w:rsidRPr="004314C4">
        <w:rPr>
          <w:rFonts w:hint="eastAsia"/>
        </w:rPr>
        <w:t>。</w:t>
      </w:r>
      <w:r w:rsidR="001A6899" w:rsidRPr="004314C4">
        <w:rPr>
          <w:rFonts w:hint="eastAsia"/>
        </w:rPr>
        <w:t>目前</w:t>
      </w:r>
      <w:r w:rsidR="001A6899" w:rsidRPr="004314C4">
        <w:t>，</w:t>
      </w:r>
      <w:r w:rsidR="001A6899" w:rsidRPr="004314C4">
        <w:rPr>
          <w:rFonts w:hint="eastAsia"/>
        </w:rPr>
        <w:t>绿春</w:t>
      </w:r>
      <w:r w:rsidR="005F0846" w:rsidRPr="004314C4">
        <w:rPr>
          <w:rFonts w:hint="eastAsia"/>
        </w:rPr>
        <w:t>茶</w:t>
      </w:r>
      <w:r w:rsidR="0090602A">
        <w:rPr>
          <w:rFonts w:hint="eastAsia"/>
        </w:rPr>
        <w:t>行业从业人员</w:t>
      </w:r>
      <w:r w:rsidR="001A6899" w:rsidRPr="004314C4">
        <w:rPr>
          <w:rFonts w:hint="eastAsia"/>
        </w:rPr>
        <w:t>大多为种植人员。从上游技术领域来看，茶叶技术研发及推广人员相对稀缺。中游茶叶企业</w:t>
      </w:r>
      <w:r w:rsidR="002B0C15" w:rsidRPr="004314C4">
        <w:rPr>
          <w:rFonts w:hint="eastAsia"/>
        </w:rPr>
        <w:t>精加工</w:t>
      </w:r>
      <w:r w:rsidR="001A6899" w:rsidRPr="004314C4">
        <w:rPr>
          <w:rFonts w:hint="eastAsia"/>
        </w:rPr>
        <w:t>人员数量也相对较少，受过系统性茶叶加工教育的业内人员更是少之又少。由此，绿春茶在生产中的</w:t>
      </w:r>
      <w:r w:rsidR="00C65411">
        <w:rPr>
          <w:rFonts w:hint="eastAsia"/>
        </w:rPr>
        <w:t>遇到的</w:t>
      </w:r>
      <w:r w:rsidR="001A6899" w:rsidRPr="004314C4">
        <w:rPr>
          <w:rFonts w:hint="eastAsia"/>
        </w:rPr>
        <w:t>技术问题不能得到及时解决。</w:t>
      </w:r>
    </w:p>
    <w:p w14:paraId="10A103BD" w14:textId="0EDF7333" w:rsidR="001A6899" w:rsidRPr="004314C4" w:rsidRDefault="00377DA5" w:rsidP="004314C4">
      <w:pPr>
        <w:pStyle w:val="005"/>
        <w:ind w:firstLine="480"/>
      </w:pPr>
      <w:r w:rsidRPr="004314C4">
        <w:rPr>
          <w:rFonts w:hint="eastAsia"/>
        </w:rPr>
        <w:t>茶叶</w:t>
      </w:r>
      <w:r w:rsidR="003F4EC3" w:rsidRPr="004314C4">
        <w:rPr>
          <w:rFonts w:hint="eastAsia"/>
        </w:rPr>
        <w:t>行业投资不足</w:t>
      </w:r>
      <w:r w:rsidR="00637175" w:rsidRPr="004314C4">
        <w:rPr>
          <w:rFonts w:hint="eastAsia"/>
        </w:rPr>
        <w:t>，基础设施相对落后。首先，由于全县茶叶仍大面停留在农户自主种植</w:t>
      </w:r>
      <w:r w:rsidR="007C483D">
        <w:rPr>
          <w:rFonts w:hint="eastAsia"/>
        </w:rPr>
        <w:t>、</w:t>
      </w:r>
      <w:r w:rsidR="00637175" w:rsidRPr="004314C4">
        <w:rPr>
          <w:rFonts w:hint="eastAsia"/>
        </w:rPr>
        <w:t>分散加工的阶段，</w:t>
      </w:r>
      <w:r w:rsidR="001F0667">
        <w:rPr>
          <w:rFonts w:hint="eastAsia"/>
        </w:rPr>
        <w:t>并且</w:t>
      </w:r>
      <w:r w:rsidR="00637175" w:rsidRPr="004314C4">
        <w:rPr>
          <w:rFonts w:hint="eastAsia"/>
        </w:rPr>
        <w:t>缺乏必要的资金支持和投入，茶叶品种和树龄结构调整缓慢，低产茶园面积比例较高，树龄较大的老茶园仍未及时更新改造。其次</w:t>
      </w:r>
      <w:r w:rsidR="00345A70" w:rsidRPr="004314C4">
        <w:rPr>
          <w:rFonts w:hint="eastAsia"/>
        </w:rPr>
        <w:t>由于茶叶行业基础设施建设薄弱，加工设备陈旧，全县初加工阶段缺少</w:t>
      </w:r>
      <w:proofErr w:type="gramStart"/>
      <w:r w:rsidR="00345A70" w:rsidRPr="004314C4">
        <w:rPr>
          <w:rFonts w:hint="eastAsia"/>
        </w:rPr>
        <w:t>杀青机</w:t>
      </w:r>
      <w:proofErr w:type="gramEnd"/>
      <w:r w:rsidR="00345A70" w:rsidRPr="004314C4">
        <w:rPr>
          <w:rFonts w:hint="eastAsia"/>
        </w:rPr>
        <w:t>和揉茶机，大部分茶园保留着“家庭式小作坊”的特点，进而影响加工质量和效率。</w:t>
      </w:r>
    </w:p>
    <w:p w14:paraId="2A0B69FF" w14:textId="6B44D996" w:rsidR="00B439C1" w:rsidRPr="004314C4" w:rsidRDefault="00B439C1" w:rsidP="004314C4">
      <w:pPr>
        <w:pStyle w:val="005"/>
        <w:ind w:firstLine="480"/>
      </w:pPr>
      <w:r w:rsidRPr="004314C4">
        <w:rPr>
          <w:rFonts w:hint="eastAsia"/>
        </w:rPr>
        <w:t>茶叶行业产品力不足，市场开拓滞后。</w:t>
      </w:r>
      <w:r w:rsidR="00A10FD3">
        <w:rPr>
          <w:rFonts w:hint="eastAsia"/>
        </w:rPr>
        <w:t>从</w:t>
      </w:r>
      <w:r w:rsidRPr="004314C4">
        <w:rPr>
          <w:rFonts w:hint="eastAsia"/>
        </w:rPr>
        <w:t>企业端</w:t>
      </w:r>
      <w:r w:rsidR="00A10FD3">
        <w:rPr>
          <w:rFonts w:hint="eastAsia"/>
        </w:rPr>
        <w:t>来</w:t>
      </w:r>
      <w:r w:rsidRPr="004314C4">
        <w:rPr>
          <w:rFonts w:hint="eastAsia"/>
        </w:rPr>
        <w:t>看，目前绿春县初具规模的茶叶企业稀少，总体规模较小</w:t>
      </w:r>
      <w:r w:rsidR="00E53410">
        <w:rPr>
          <w:rFonts w:hint="eastAsia"/>
        </w:rPr>
        <w:t>，</w:t>
      </w:r>
      <w:r w:rsidRPr="004314C4">
        <w:rPr>
          <w:rFonts w:hint="eastAsia"/>
        </w:rPr>
        <w:t>龙头企业为行业带来的推动力不足</w:t>
      </w:r>
      <w:r w:rsidRPr="004314C4">
        <w:t>。</w:t>
      </w:r>
      <w:r w:rsidR="003049F9">
        <w:rPr>
          <w:rFonts w:hint="eastAsia"/>
        </w:rPr>
        <w:t>从</w:t>
      </w:r>
      <w:r w:rsidRPr="004314C4">
        <w:rPr>
          <w:rFonts w:hint="eastAsia"/>
        </w:rPr>
        <w:t>产品端</w:t>
      </w:r>
      <w:r w:rsidR="0067468D">
        <w:rPr>
          <w:rFonts w:hint="eastAsia"/>
        </w:rPr>
        <w:t>来</w:t>
      </w:r>
      <w:r w:rsidRPr="004314C4">
        <w:rPr>
          <w:rFonts w:hint="eastAsia"/>
        </w:rPr>
        <w:t>看，茶叶品牌名牌少，产品结构不合理，晒青毛茶</w:t>
      </w:r>
      <w:proofErr w:type="gramStart"/>
      <w:r w:rsidRPr="004314C4">
        <w:rPr>
          <w:rFonts w:hint="eastAsia"/>
        </w:rPr>
        <w:t>占比较</w:t>
      </w:r>
      <w:proofErr w:type="gramEnd"/>
      <w:r w:rsidRPr="004314C4">
        <w:rPr>
          <w:rFonts w:hint="eastAsia"/>
        </w:rPr>
        <w:t>大，缺少有机茶等新型生态茶品牌</w:t>
      </w:r>
      <w:r w:rsidR="006A11F2" w:rsidRPr="004314C4">
        <w:rPr>
          <w:rFonts w:hint="eastAsia"/>
        </w:rPr>
        <w:t>，很难适应当下</w:t>
      </w:r>
      <w:r w:rsidR="00E24F59">
        <w:rPr>
          <w:rFonts w:hint="eastAsia"/>
        </w:rPr>
        <w:t>竞争激烈</w:t>
      </w:r>
      <w:r w:rsidR="006A11F2" w:rsidRPr="004314C4">
        <w:rPr>
          <w:rFonts w:hint="eastAsia"/>
        </w:rPr>
        <w:t>的市场环境。</w:t>
      </w:r>
      <w:r w:rsidR="00606B8F">
        <w:rPr>
          <w:rFonts w:hint="eastAsia"/>
        </w:rPr>
        <w:t>从</w:t>
      </w:r>
      <w:r w:rsidR="006A11F2" w:rsidRPr="004314C4">
        <w:rPr>
          <w:rFonts w:hint="eastAsia"/>
        </w:rPr>
        <w:t>营销端来看，市场开拓力仍需加强，全县电子商务仍处于起步阶段，绿春茶的推销营销力度较小，市场份额仍有较大的进步空间。</w:t>
      </w:r>
    </w:p>
    <w:p w14:paraId="5263B897" w14:textId="36C91EE1" w:rsidR="006A11F2" w:rsidRPr="004314C4" w:rsidRDefault="009252FC" w:rsidP="00326CD3">
      <w:pPr>
        <w:pStyle w:val="002"/>
        <w:spacing w:before="156" w:after="156"/>
      </w:pPr>
      <w:bookmarkStart w:id="24" w:name="_Toc112089154"/>
      <w:bookmarkStart w:id="25" w:name="_Toc112915737"/>
      <w:r>
        <w:rPr>
          <w:rFonts w:hint="eastAsia"/>
        </w:rPr>
        <w:t>第二节</w:t>
      </w:r>
      <w:r>
        <w:rPr>
          <w:rFonts w:hint="eastAsia"/>
        </w:rPr>
        <w:t xml:space="preserve"> </w:t>
      </w:r>
      <w:r w:rsidR="00D57610" w:rsidRPr="004314C4">
        <w:rPr>
          <w:rFonts w:hint="eastAsia"/>
        </w:rPr>
        <w:t>工业经济发展缓慢</w:t>
      </w:r>
      <w:bookmarkEnd w:id="24"/>
      <w:bookmarkEnd w:id="25"/>
    </w:p>
    <w:p w14:paraId="1664E967" w14:textId="0F06F219" w:rsidR="00140F54" w:rsidRPr="004314C4" w:rsidRDefault="00D57610" w:rsidP="004314C4">
      <w:pPr>
        <w:pStyle w:val="005"/>
        <w:ind w:firstLine="480"/>
      </w:pPr>
      <w:r w:rsidRPr="004314C4">
        <w:rPr>
          <w:rFonts w:hint="eastAsia"/>
        </w:rPr>
        <w:t>绿春全县工业经济发展薄弱</w:t>
      </w:r>
      <w:r w:rsidR="00564BF2" w:rsidRPr="004314C4">
        <w:rPr>
          <w:rFonts w:hint="eastAsia"/>
        </w:rPr>
        <w:t>。</w:t>
      </w:r>
      <w:r w:rsidR="00564BF2" w:rsidRPr="004314C4">
        <w:rPr>
          <w:rFonts w:hint="eastAsia"/>
        </w:rPr>
        <w:t>2</w:t>
      </w:r>
      <w:r w:rsidR="00564BF2" w:rsidRPr="004314C4">
        <w:t>021</w:t>
      </w:r>
      <w:r w:rsidR="00564BF2" w:rsidRPr="004314C4">
        <w:t>年</w:t>
      </w:r>
      <w:r w:rsidR="00E45F7C" w:rsidRPr="004314C4">
        <w:rPr>
          <w:rFonts w:hint="eastAsia"/>
        </w:rPr>
        <w:t>，</w:t>
      </w:r>
      <w:r w:rsidR="00564BF2" w:rsidRPr="004314C4">
        <w:rPr>
          <w:rFonts w:hint="eastAsia"/>
        </w:rPr>
        <w:t>绿春县第二产业增加值</w:t>
      </w:r>
      <w:r w:rsidR="00564BF2" w:rsidRPr="004314C4">
        <w:t>176</w:t>
      </w:r>
      <w:r w:rsidR="006B71F8">
        <w:t>,</w:t>
      </w:r>
      <w:r w:rsidR="00564BF2" w:rsidRPr="004314C4">
        <w:t>771</w:t>
      </w:r>
      <w:r w:rsidR="00564BF2" w:rsidRPr="004314C4">
        <w:t>万元，同比增长</w:t>
      </w:r>
      <w:r w:rsidR="00564BF2" w:rsidRPr="004314C4">
        <w:t>12.5%</w:t>
      </w:r>
      <w:r w:rsidR="00DE6557">
        <w:rPr>
          <w:rStyle w:val="af4"/>
        </w:rPr>
        <w:footnoteReference w:id="9"/>
      </w:r>
      <w:r w:rsidR="00E45F7C" w:rsidRPr="004314C4">
        <w:rPr>
          <w:rFonts w:hint="eastAsia"/>
        </w:rPr>
        <w:t>。</w:t>
      </w:r>
      <w:r w:rsidR="00746049" w:rsidRPr="004314C4">
        <w:rPr>
          <w:rFonts w:hint="eastAsia"/>
        </w:rPr>
        <w:t>由于全县工业企业规模小，多数</w:t>
      </w:r>
      <w:r w:rsidR="001E0CE5">
        <w:rPr>
          <w:rFonts w:hint="eastAsia"/>
        </w:rPr>
        <w:t>企业</w:t>
      </w:r>
      <w:r w:rsidR="000D63F5">
        <w:rPr>
          <w:rFonts w:hint="eastAsia"/>
        </w:rPr>
        <w:t>业务</w:t>
      </w:r>
      <w:r w:rsidR="00746049" w:rsidRPr="004314C4">
        <w:rPr>
          <w:rFonts w:hint="eastAsia"/>
        </w:rPr>
        <w:t>仅停留在</w:t>
      </w:r>
      <w:r w:rsidR="00ED36F8">
        <w:rPr>
          <w:rFonts w:hint="eastAsia"/>
        </w:rPr>
        <w:t>对原材料</w:t>
      </w:r>
      <w:r w:rsidR="00746049" w:rsidRPr="004314C4">
        <w:rPr>
          <w:rFonts w:hint="eastAsia"/>
        </w:rPr>
        <w:t>的初加工</w:t>
      </w:r>
      <w:r w:rsidR="006B71F8">
        <w:rPr>
          <w:rFonts w:hint="eastAsia"/>
        </w:rPr>
        <w:t>阶段</w:t>
      </w:r>
      <w:r w:rsidR="00746049" w:rsidRPr="004314C4">
        <w:rPr>
          <w:rFonts w:hint="eastAsia"/>
        </w:rPr>
        <w:t>，产品附加值低，优势产业不突出，骨干企业支撑不明显，同时矿业企业时常处于停产半停产状态，</w:t>
      </w:r>
      <w:r w:rsidR="007439FB" w:rsidRPr="004314C4">
        <w:rPr>
          <w:rFonts w:hint="eastAsia"/>
        </w:rPr>
        <w:lastRenderedPageBreak/>
        <w:t>虽然</w:t>
      </w:r>
      <w:r w:rsidR="007439FB" w:rsidRPr="004314C4">
        <w:rPr>
          <w:rFonts w:hint="eastAsia"/>
        </w:rPr>
        <w:t>2</w:t>
      </w:r>
      <w:r w:rsidR="007439FB" w:rsidRPr="004314C4">
        <w:t>021</w:t>
      </w:r>
      <w:r w:rsidR="007439FB" w:rsidRPr="004314C4">
        <w:t>年</w:t>
      </w:r>
      <w:r w:rsidR="007439FB" w:rsidRPr="004314C4">
        <w:rPr>
          <w:rFonts w:hint="eastAsia"/>
        </w:rPr>
        <w:t>工业产业增加</w:t>
      </w:r>
      <w:proofErr w:type="gramStart"/>
      <w:r w:rsidR="007439FB" w:rsidRPr="004314C4">
        <w:rPr>
          <w:rFonts w:hint="eastAsia"/>
        </w:rPr>
        <w:t>值实现</w:t>
      </w:r>
      <w:proofErr w:type="gramEnd"/>
      <w:r w:rsidR="007439FB" w:rsidRPr="004314C4">
        <w:rPr>
          <w:rFonts w:hint="eastAsia"/>
        </w:rPr>
        <w:t>增长，但</w:t>
      </w:r>
      <w:r w:rsidR="00746049" w:rsidRPr="004314C4">
        <w:rPr>
          <w:rFonts w:hint="eastAsia"/>
        </w:rPr>
        <w:t>工业经济增长后劲不足。</w:t>
      </w:r>
    </w:p>
    <w:p w14:paraId="2630EBAD" w14:textId="1D3A8E6D" w:rsidR="00D57610" w:rsidRPr="004314C4" w:rsidRDefault="00140F54" w:rsidP="004314C4">
      <w:pPr>
        <w:pStyle w:val="005"/>
        <w:ind w:firstLine="480"/>
      </w:pPr>
      <w:r w:rsidRPr="004314C4">
        <w:rPr>
          <w:rFonts w:hint="eastAsia"/>
        </w:rPr>
        <w:t>从总体数量上看，全县民营经济发展较快，但就个体企业来看生产规模仍然偏小，大部分是小微型企业，且微型企业居多，经济实力弱。二是生产工艺落后，市场竞争力不强。大部分民营企业生产工艺、设备落后，科技创新人才少，产品科技含量低，缺少知名品牌，市场竞争力不强，经济效益不稳定。</w:t>
      </w:r>
    </w:p>
    <w:p w14:paraId="6A769FAC" w14:textId="07844B80" w:rsidR="00867F97" w:rsidRPr="004314C4" w:rsidRDefault="00867F97" w:rsidP="004314C4">
      <w:pPr>
        <w:pStyle w:val="005"/>
        <w:ind w:firstLine="480"/>
      </w:pPr>
      <w:r w:rsidRPr="004314C4">
        <w:rPr>
          <w:rFonts w:hint="eastAsia"/>
        </w:rPr>
        <w:t>从高新技术及信息化角度看，新型信息化基础设施建设尚处于发展阶段，尚未形成广泛应用，数字技术为工业发展带来的附加值微弱。其次，由于地理区位优势不明显，交通不便，没有形成对信息化产业发展强大的吸引力，从而较难带动企业落户绿春</w:t>
      </w:r>
      <w:r w:rsidR="007E5E9C">
        <w:rPr>
          <w:rStyle w:val="af4"/>
        </w:rPr>
        <w:footnoteReference w:id="10"/>
      </w:r>
      <w:r w:rsidRPr="004314C4">
        <w:rPr>
          <w:rFonts w:hint="eastAsia"/>
        </w:rPr>
        <w:t>。</w:t>
      </w:r>
    </w:p>
    <w:p w14:paraId="64EBACF0" w14:textId="001BE7B3" w:rsidR="007F141C" w:rsidRPr="004314C4" w:rsidRDefault="009252FC" w:rsidP="00326CD3">
      <w:pPr>
        <w:pStyle w:val="002"/>
        <w:spacing w:before="156" w:after="156"/>
      </w:pPr>
      <w:bookmarkStart w:id="26" w:name="_Toc112089155"/>
      <w:bookmarkStart w:id="27" w:name="_Toc112915738"/>
      <w:r>
        <w:rPr>
          <w:rFonts w:hint="eastAsia"/>
        </w:rPr>
        <w:t>第三节</w:t>
      </w:r>
      <w:r>
        <w:rPr>
          <w:rFonts w:hint="eastAsia"/>
        </w:rPr>
        <w:t xml:space="preserve"> </w:t>
      </w:r>
      <w:r w:rsidR="007F141C" w:rsidRPr="004314C4">
        <w:rPr>
          <w:rFonts w:hint="eastAsia"/>
        </w:rPr>
        <w:t>教育环境急需改善</w:t>
      </w:r>
      <w:bookmarkEnd w:id="26"/>
      <w:bookmarkEnd w:id="27"/>
    </w:p>
    <w:p w14:paraId="578A01D3" w14:textId="480A80C6" w:rsidR="007F141C" w:rsidRPr="004314C4" w:rsidRDefault="007F141C" w:rsidP="004314C4">
      <w:pPr>
        <w:pStyle w:val="005"/>
        <w:ind w:firstLine="480"/>
      </w:pPr>
      <w:r w:rsidRPr="004314C4">
        <w:rPr>
          <w:rFonts w:hint="eastAsia"/>
        </w:rPr>
        <w:t>“短期就业，中期产业，长期教育”，是实现乡村振兴的主要方针。教育发展作为地区发展的前提条件，绿春县在各个年龄阶段教育环境，尤其是中小</w:t>
      </w:r>
      <w:proofErr w:type="gramStart"/>
      <w:r w:rsidRPr="004314C4">
        <w:rPr>
          <w:rFonts w:hint="eastAsia"/>
        </w:rPr>
        <w:t>幼</w:t>
      </w:r>
      <w:proofErr w:type="gramEnd"/>
      <w:r w:rsidRPr="004314C4">
        <w:rPr>
          <w:rFonts w:hint="eastAsia"/>
        </w:rPr>
        <w:t>教育还需要</w:t>
      </w:r>
      <w:r w:rsidR="00A6796B" w:rsidRPr="004314C4">
        <w:rPr>
          <w:rFonts w:hint="eastAsia"/>
        </w:rPr>
        <w:t>逐步</w:t>
      </w:r>
      <w:r w:rsidR="002272FC">
        <w:rPr>
          <w:rFonts w:hint="eastAsia"/>
        </w:rPr>
        <w:t>改善</w:t>
      </w:r>
      <w:r w:rsidR="00197D82" w:rsidRPr="004314C4">
        <w:rPr>
          <w:rFonts w:hint="eastAsia"/>
        </w:rPr>
        <w:t>。通过访谈及实地走访小学及相关幼教设施，调研组总结了教育环境存在的困境和问题。</w:t>
      </w:r>
    </w:p>
    <w:p w14:paraId="1F5CBD15" w14:textId="712384BA" w:rsidR="00197D82" w:rsidRPr="004314C4" w:rsidRDefault="00950716" w:rsidP="004314C4">
      <w:pPr>
        <w:pStyle w:val="005"/>
        <w:ind w:firstLine="480"/>
      </w:pPr>
      <w:r>
        <w:rPr>
          <w:rFonts w:hint="eastAsia"/>
        </w:rPr>
        <w:t>首先</w:t>
      </w:r>
      <w:r w:rsidR="002E6096">
        <w:rPr>
          <w:rFonts w:hint="eastAsia"/>
        </w:rPr>
        <w:t>是</w:t>
      </w:r>
      <w:r w:rsidR="003F63BD" w:rsidRPr="004314C4">
        <w:rPr>
          <w:rFonts w:hint="eastAsia"/>
        </w:rPr>
        <w:t>教学设施落后。由于当地落后的经济制约，教育经费及开支较为紧张，许多教育机构的教室仅有黑板、简陋桌椅以及部分的手工装饰。</w:t>
      </w:r>
      <w:r w:rsidR="001E3492" w:rsidRPr="004314C4">
        <w:rPr>
          <w:rFonts w:hint="eastAsia"/>
        </w:rPr>
        <w:t>其次，教育配套设施不能做到全覆盖</w:t>
      </w:r>
      <w:r w:rsidR="00B92999" w:rsidRPr="004314C4">
        <w:rPr>
          <w:rFonts w:hint="eastAsia"/>
        </w:rPr>
        <w:t>。由于县内地势复杂，偏远地区交通道路建设不完善，许多学生需要在学校</w:t>
      </w:r>
      <w:r w:rsidR="00272D77" w:rsidRPr="004314C4">
        <w:rPr>
          <w:rFonts w:hint="eastAsia"/>
        </w:rPr>
        <w:t>解决白天</w:t>
      </w:r>
      <w:r w:rsidR="00696266">
        <w:rPr>
          <w:rFonts w:hint="eastAsia"/>
        </w:rPr>
        <w:t>用餐</w:t>
      </w:r>
      <w:r w:rsidR="00272D77" w:rsidRPr="004314C4">
        <w:rPr>
          <w:rFonts w:hint="eastAsia"/>
        </w:rPr>
        <w:t>需求</w:t>
      </w:r>
      <w:r w:rsidR="0090698D" w:rsidRPr="004314C4">
        <w:rPr>
          <w:rFonts w:hint="eastAsia"/>
        </w:rPr>
        <w:t>。因此，食堂、操场</w:t>
      </w:r>
      <w:r w:rsidR="001D590B">
        <w:rPr>
          <w:rFonts w:hint="eastAsia"/>
        </w:rPr>
        <w:t>等</w:t>
      </w:r>
      <w:r w:rsidR="0090698D" w:rsidRPr="004314C4">
        <w:rPr>
          <w:rFonts w:hint="eastAsia"/>
        </w:rPr>
        <w:t>配套教学场所及设施还需投入大量资金建设。</w:t>
      </w:r>
    </w:p>
    <w:p w14:paraId="7E2026DE" w14:textId="6D182AF2" w:rsidR="00AF07C3" w:rsidRPr="004314C4" w:rsidRDefault="002E6096" w:rsidP="004314C4">
      <w:pPr>
        <w:pStyle w:val="005"/>
        <w:ind w:firstLine="480"/>
      </w:pPr>
      <w:r>
        <w:rPr>
          <w:rFonts w:hint="eastAsia"/>
        </w:rPr>
        <w:t>其次是</w:t>
      </w:r>
      <w:r w:rsidR="00AF07C3" w:rsidRPr="004314C4">
        <w:t>师资力量薄弱</w:t>
      </w:r>
      <w:r w:rsidR="00AF07C3" w:rsidRPr="004314C4">
        <w:rPr>
          <w:rFonts w:hint="eastAsia"/>
        </w:rPr>
        <w:t>。</w:t>
      </w:r>
      <w:r w:rsidR="003D425A" w:rsidRPr="004314C4">
        <w:rPr>
          <w:rFonts w:hint="eastAsia"/>
        </w:rPr>
        <w:t>全县小学专职教师数量大约为每所</w:t>
      </w:r>
      <w:r w:rsidR="003D425A" w:rsidRPr="004314C4">
        <w:t>15</w:t>
      </w:r>
      <w:r w:rsidR="003D425A" w:rsidRPr="004314C4">
        <w:rPr>
          <w:rFonts w:hint="eastAsia"/>
        </w:rPr>
        <w:t>名，每</w:t>
      </w:r>
      <w:r w:rsidR="003D425A" w:rsidRPr="004314C4">
        <w:t>21</w:t>
      </w:r>
      <w:r w:rsidR="003D425A" w:rsidRPr="004314C4">
        <w:t>名</w:t>
      </w:r>
      <w:r w:rsidR="003D425A" w:rsidRPr="004314C4">
        <w:rPr>
          <w:rFonts w:hint="eastAsia"/>
        </w:rPr>
        <w:t>小学学生只有</w:t>
      </w:r>
      <w:r w:rsidR="003D425A" w:rsidRPr="004314C4">
        <w:rPr>
          <w:rFonts w:hint="eastAsia"/>
        </w:rPr>
        <w:t>1</w:t>
      </w:r>
      <w:r w:rsidR="003D425A" w:rsidRPr="004314C4">
        <w:t>位</w:t>
      </w:r>
      <w:r w:rsidR="003D425A" w:rsidRPr="004314C4">
        <w:rPr>
          <w:rFonts w:hint="eastAsia"/>
        </w:rPr>
        <w:t>专职教师教育</w:t>
      </w:r>
      <w:r w:rsidR="006513D1">
        <w:rPr>
          <w:rStyle w:val="af4"/>
        </w:rPr>
        <w:footnoteReference w:id="11"/>
      </w:r>
      <w:r w:rsidR="003D425A" w:rsidRPr="004314C4">
        <w:rPr>
          <w:rFonts w:hint="eastAsia"/>
        </w:rPr>
        <w:t>。教师</w:t>
      </w:r>
      <w:r w:rsidR="00241452">
        <w:rPr>
          <w:rFonts w:hint="eastAsia"/>
        </w:rPr>
        <w:t>资源</w:t>
      </w:r>
      <w:r w:rsidR="003D425A" w:rsidRPr="004314C4">
        <w:rPr>
          <w:rFonts w:hint="eastAsia"/>
        </w:rPr>
        <w:t>匮乏是绿春县教育发展的重点问题。</w:t>
      </w:r>
      <w:r w:rsidR="00FE0289">
        <w:rPr>
          <w:rFonts w:hint="eastAsia"/>
        </w:rPr>
        <w:t>同时，</w:t>
      </w:r>
      <w:r w:rsidR="00941D1D" w:rsidRPr="004314C4">
        <w:rPr>
          <w:rFonts w:hint="eastAsia"/>
        </w:rPr>
        <w:t>师资力量分配不均，全县偏远地区经济落后的乡镇学校教师严重</w:t>
      </w:r>
      <w:r w:rsidR="00086F42" w:rsidRPr="004314C4">
        <w:rPr>
          <w:rFonts w:hint="eastAsia"/>
        </w:rPr>
        <w:t>紧缺</w:t>
      </w:r>
      <w:r w:rsidR="00941D1D" w:rsidRPr="004314C4">
        <w:rPr>
          <w:rFonts w:hint="eastAsia"/>
        </w:rPr>
        <w:t>，在职教师千方百计要求调出。师资后备力量不足，教师减员严重，退休及外流致使学校无法按需分配教师资源。</w:t>
      </w:r>
      <w:r w:rsidR="002646E0" w:rsidRPr="004314C4">
        <w:rPr>
          <w:rFonts w:hint="eastAsia"/>
        </w:rPr>
        <w:t>低激励和低福利更是降低了绿春</w:t>
      </w:r>
      <w:proofErr w:type="gramStart"/>
      <w:r w:rsidR="002646E0" w:rsidRPr="004314C4">
        <w:rPr>
          <w:rFonts w:hint="eastAsia"/>
        </w:rPr>
        <w:t>县教学</w:t>
      </w:r>
      <w:proofErr w:type="gramEnd"/>
      <w:r w:rsidR="002646E0" w:rsidRPr="004314C4">
        <w:rPr>
          <w:rFonts w:hint="eastAsia"/>
        </w:rPr>
        <w:t>环境的吸引力</w:t>
      </w:r>
      <w:r w:rsidR="00CB77C8" w:rsidRPr="004314C4">
        <w:rPr>
          <w:rFonts w:hint="eastAsia"/>
        </w:rPr>
        <w:t>，县内学校存在依赖公益支教教师力量的情形。</w:t>
      </w:r>
    </w:p>
    <w:p w14:paraId="7DFDCB15" w14:textId="6B2D3E2E" w:rsidR="00A56B0A" w:rsidRPr="004314C4" w:rsidRDefault="000179AF" w:rsidP="004314C4">
      <w:pPr>
        <w:pStyle w:val="005"/>
        <w:ind w:firstLine="480"/>
      </w:pPr>
      <w:r>
        <w:rPr>
          <w:rFonts w:hint="eastAsia"/>
        </w:rPr>
        <w:t>最后是</w:t>
      </w:r>
      <w:r w:rsidR="00A56B0A" w:rsidRPr="004314C4">
        <w:rPr>
          <w:rFonts w:hint="eastAsia"/>
        </w:rPr>
        <w:t>学前教育尚未普及。</w:t>
      </w:r>
      <w:r w:rsidR="006D5946" w:rsidRPr="004314C4">
        <w:rPr>
          <w:rFonts w:hint="eastAsia"/>
        </w:rPr>
        <w:t>全县部分落后偏远乡镇及街道尚未拥有充足的公办学前教育机构。由于交通不便，路途遥远，许多儿童无法享受</w:t>
      </w:r>
      <w:r w:rsidR="009A2A24" w:rsidRPr="004314C4">
        <w:rPr>
          <w:rFonts w:hint="eastAsia"/>
        </w:rPr>
        <w:t>就近的</w:t>
      </w:r>
      <w:r w:rsidR="006D5946" w:rsidRPr="004314C4">
        <w:rPr>
          <w:rFonts w:hint="eastAsia"/>
        </w:rPr>
        <w:t>学前教育资源，学前教育资源短缺</w:t>
      </w:r>
      <w:r w:rsidR="00FD34C9">
        <w:rPr>
          <w:rFonts w:hint="eastAsia"/>
        </w:rPr>
        <w:t>为</w:t>
      </w:r>
      <w:r w:rsidR="00963B17" w:rsidRPr="004314C4">
        <w:rPr>
          <w:rFonts w:hint="eastAsia"/>
        </w:rPr>
        <w:t>绿春整体教育体系的构成</w:t>
      </w:r>
      <w:r w:rsidR="00FD34C9">
        <w:rPr>
          <w:rFonts w:hint="eastAsia"/>
        </w:rPr>
        <w:t>带来了较大的负面影响</w:t>
      </w:r>
      <w:r w:rsidR="006D5946" w:rsidRPr="004314C4">
        <w:rPr>
          <w:rFonts w:hint="eastAsia"/>
        </w:rPr>
        <w:t>。</w:t>
      </w:r>
    </w:p>
    <w:p w14:paraId="17CFB6B3" w14:textId="7BB12FD5" w:rsidR="003908FB" w:rsidRPr="004314C4" w:rsidRDefault="009252FC" w:rsidP="00326CD3">
      <w:pPr>
        <w:pStyle w:val="002"/>
        <w:spacing w:before="156" w:after="156"/>
      </w:pPr>
      <w:bookmarkStart w:id="28" w:name="_Toc112089156"/>
      <w:bookmarkStart w:id="29" w:name="_Toc112915739"/>
      <w:r>
        <w:rPr>
          <w:rFonts w:hint="eastAsia"/>
        </w:rPr>
        <w:t>第四节</w:t>
      </w:r>
      <w:r>
        <w:rPr>
          <w:rFonts w:hint="eastAsia"/>
        </w:rPr>
        <w:t xml:space="preserve"> </w:t>
      </w:r>
      <w:r w:rsidR="002F0997" w:rsidRPr="004314C4">
        <w:rPr>
          <w:rFonts w:hint="eastAsia"/>
        </w:rPr>
        <w:t>交通道路不畅阻碍经济发展</w:t>
      </w:r>
      <w:bookmarkEnd w:id="28"/>
      <w:bookmarkEnd w:id="29"/>
    </w:p>
    <w:p w14:paraId="5CD1B287" w14:textId="3EE17F4B" w:rsidR="009252FC" w:rsidRDefault="002F0997" w:rsidP="007D2DD8">
      <w:pPr>
        <w:pStyle w:val="005"/>
        <w:ind w:firstLine="480"/>
      </w:pPr>
      <w:r w:rsidRPr="004314C4">
        <w:rPr>
          <w:rFonts w:hint="eastAsia"/>
        </w:rPr>
        <w:t>交通不便、道路土化严重一直是制约绿春农村经济社会发展的主要</w:t>
      </w:r>
      <w:r w:rsidR="00D90113">
        <w:rPr>
          <w:rFonts w:hint="eastAsia"/>
        </w:rPr>
        <w:t>问题。为了</w:t>
      </w:r>
      <w:r w:rsidRPr="004314C4">
        <w:rPr>
          <w:rFonts w:hint="eastAsia"/>
        </w:rPr>
        <w:t>巩固脱贫</w:t>
      </w:r>
      <w:r w:rsidRPr="004314C4">
        <w:rPr>
          <w:rFonts w:hint="eastAsia"/>
        </w:rPr>
        <w:lastRenderedPageBreak/>
        <w:t>攻坚的成果，进一步促进县乡镇经济的发展，加快县内道路交通建设是首要任务。</w:t>
      </w:r>
      <w:r w:rsidR="00EA3FD1" w:rsidRPr="004314C4">
        <w:rPr>
          <w:rFonts w:hint="eastAsia"/>
        </w:rPr>
        <w:t>目前，绿春县内很多农村的公路年久失修，道路泥泞，宽窄不一，崎岖难行，安全隐患极大，给村民的出行和日常生活造成了很大的不便</w:t>
      </w:r>
      <w:r w:rsidR="002C01F9" w:rsidRPr="004314C4">
        <w:rPr>
          <w:rFonts w:hint="eastAsia"/>
        </w:rPr>
        <w:t>。同时，道路问题也在一定程度上阻碍的产业经济的发展</w:t>
      </w:r>
      <w:r w:rsidR="007D2DD8">
        <w:rPr>
          <w:rFonts w:hint="eastAsia"/>
        </w:rPr>
        <w:t>。因此，</w:t>
      </w:r>
      <w:r w:rsidR="002C01F9" w:rsidRPr="004314C4">
        <w:rPr>
          <w:rFonts w:hint="eastAsia"/>
        </w:rPr>
        <w:t>农村道路基础设施建设刻不容缓，是千千万万绿春人的期盼，也是绿春人实现致富奔小康的重要保障。</w:t>
      </w:r>
    </w:p>
    <w:p w14:paraId="6BDD3A3C" w14:textId="77777777" w:rsidR="009252FC" w:rsidRDefault="009252FC">
      <w:pPr>
        <w:widowControl/>
        <w:numPr>
          <w:ilvl w:val="0"/>
          <w:numId w:val="0"/>
        </w:numPr>
        <w:jc w:val="left"/>
        <w:rPr>
          <w:rFonts w:ascii="Times New Roman" w:eastAsia="宋体" w:hAnsi="Times New Roman" w:cs="Times New Roman"/>
          <w:sz w:val="24"/>
        </w:rPr>
      </w:pPr>
      <w:r>
        <w:br w:type="page"/>
      </w:r>
    </w:p>
    <w:p w14:paraId="11703A4C" w14:textId="359B2E70" w:rsidR="004F5CFD" w:rsidRPr="004314C4" w:rsidRDefault="009252FC" w:rsidP="00326CD3">
      <w:pPr>
        <w:pStyle w:val="001"/>
        <w:spacing w:before="156" w:after="156"/>
      </w:pPr>
      <w:bookmarkStart w:id="30" w:name="_Toc112089157"/>
      <w:bookmarkStart w:id="31" w:name="_Toc112915740"/>
      <w:r>
        <w:rPr>
          <w:rFonts w:hint="eastAsia"/>
        </w:rPr>
        <w:lastRenderedPageBreak/>
        <w:t>第三章</w:t>
      </w:r>
      <w:r>
        <w:rPr>
          <w:rFonts w:hint="eastAsia"/>
        </w:rPr>
        <w:t xml:space="preserve"> </w:t>
      </w:r>
      <w:r w:rsidR="004F5CFD" w:rsidRPr="004314C4">
        <w:rPr>
          <w:rFonts w:hint="eastAsia"/>
        </w:rPr>
        <w:t>证券业助力乡村振兴——现有模式</w:t>
      </w:r>
      <w:bookmarkEnd w:id="30"/>
      <w:bookmarkEnd w:id="31"/>
    </w:p>
    <w:p w14:paraId="51DD6D85" w14:textId="5E8E2991" w:rsidR="00026E19" w:rsidRPr="004314C4" w:rsidRDefault="004D6C1E" w:rsidP="004314C4">
      <w:pPr>
        <w:pStyle w:val="005"/>
        <w:ind w:firstLine="480"/>
      </w:pPr>
      <w:r w:rsidRPr="004314C4">
        <w:rPr>
          <w:rFonts w:hint="eastAsia"/>
        </w:rPr>
        <w:t>2</w:t>
      </w:r>
      <w:r w:rsidRPr="004314C4">
        <w:t>015</w:t>
      </w:r>
      <w:r w:rsidRPr="004314C4">
        <w:rPr>
          <w:rFonts w:hint="eastAsia"/>
        </w:rPr>
        <w:t>年国务院发布《中共中央国务院关于打赢脱贫攻坚</w:t>
      </w:r>
      <w:r w:rsidR="008D084F" w:rsidRPr="004314C4">
        <w:rPr>
          <w:rFonts w:hint="eastAsia"/>
        </w:rPr>
        <w:t>战的决定</w:t>
      </w:r>
      <w:r w:rsidRPr="004314C4">
        <w:rPr>
          <w:rFonts w:hint="eastAsia"/>
        </w:rPr>
        <w:t>》</w:t>
      </w:r>
      <w:r w:rsidR="008D084F" w:rsidRPr="004314C4">
        <w:rPr>
          <w:rFonts w:hint="eastAsia"/>
        </w:rPr>
        <w:t>，表明金融行业在扶贫攻坚战中的重要作用。证券业作为金融业发展的排头兵，</w:t>
      </w:r>
      <w:r w:rsidR="00CB1B39" w:rsidRPr="004314C4">
        <w:rPr>
          <w:rFonts w:hint="eastAsia"/>
        </w:rPr>
        <w:t>中国证券业协会近年来每年都会针对本年扶贫工作</w:t>
      </w:r>
      <w:proofErr w:type="gramStart"/>
      <w:r w:rsidR="00CB1B39" w:rsidRPr="004314C4">
        <w:rPr>
          <w:rFonts w:hint="eastAsia"/>
        </w:rPr>
        <w:t>作出</w:t>
      </w:r>
      <w:proofErr w:type="gramEnd"/>
      <w:r w:rsidR="00CB1B39" w:rsidRPr="004314C4">
        <w:rPr>
          <w:rFonts w:hint="eastAsia"/>
        </w:rPr>
        <w:t>重点回顾和总结。</w:t>
      </w:r>
      <w:r w:rsidR="00CB1B39" w:rsidRPr="004314C4">
        <w:t>2016</w:t>
      </w:r>
      <w:r w:rsidR="00CB1B39" w:rsidRPr="004314C4">
        <w:rPr>
          <w:rFonts w:hint="eastAsia"/>
        </w:rPr>
        <w:t>年以来，协会先后发起“</w:t>
      </w:r>
      <w:proofErr w:type="gramStart"/>
      <w:r w:rsidR="00CB1B39" w:rsidRPr="004314C4">
        <w:rPr>
          <w:rFonts w:hint="eastAsia"/>
        </w:rPr>
        <w:t>一</w:t>
      </w:r>
      <w:proofErr w:type="gramEnd"/>
      <w:r w:rsidR="00CB1B39" w:rsidRPr="004314C4">
        <w:rPr>
          <w:rFonts w:hint="eastAsia"/>
        </w:rPr>
        <w:t>司一县”和“一县</w:t>
      </w:r>
      <w:proofErr w:type="gramStart"/>
      <w:r w:rsidR="00CB1B39" w:rsidRPr="004314C4">
        <w:rPr>
          <w:rFonts w:hint="eastAsia"/>
        </w:rPr>
        <w:t>一</w:t>
      </w:r>
      <w:proofErr w:type="gramEnd"/>
      <w:r w:rsidR="00CB1B39" w:rsidRPr="004314C4">
        <w:rPr>
          <w:rFonts w:hint="eastAsia"/>
        </w:rPr>
        <w:t>企”结对帮扶行动倡议，</w:t>
      </w:r>
      <w:proofErr w:type="gramStart"/>
      <w:r w:rsidR="00CB1B39" w:rsidRPr="004314C4">
        <w:rPr>
          <w:rFonts w:hint="eastAsia"/>
        </w:rPr>
        <w:t>倡议全证券</w:t>
      </w:r>
      <w:proofErr w:type="gramEnd"/>
      <w:r w:rsidR="00CB1B39" w:rsidRPr="004314C4">
        <w:rPr>
          <w:rFonts w:hint="eastAsia"/>
        </w:rPr>
        <w:t>行业积极投身扶贫帮扶行动中，助力贫困乡村的全方位振兴。</w:t>
      </w:r>
      <w:r w:rsidR="00FD09E9" w:rsidRPr="004314C4">
        <w:rPr>
          <w:rFonts w:hint="eastAsia"/>
        </w:rPr>
        <w:t>协会号召证券业各公司积极开展产业扶贫、金融扶贫、消费扶贫、公益扶贫四大扶贫重点方式。截至</w:t>
      </w:r>
      <w:r w:rsidR="00FD09E9" w:rsidRPr="004314C4">
        <w:t>2020</w:t>
      </w:r>
      <w:r w:rsidR="00FD09E9" w:rsidRPr="004314C4">
        <w:rPr>
          <w:rFonts w:hint="eastAsia"/>
        </w:rPr>
        <w:t>年底，</w:t>
      </w:r>
      <w:r w:rsidR="00FD09E9" w:rsidRPr="004314C4">
        <w:t>102</w:t>
      </w:r>
      <w:r w:rsidR="00FD09E9" w:rsidRPr="004314C4">
        <w:rPr>
          <w:rFonts w:hint="eastAsia"/>
        </w:rPr>
        <w:t>家证券公司结对帮扶的</w:t>
      </w:r>
      <w:r w:rsidR="00FD09E9" w:rsidRPr="004314C4">
        <w:t>307</w:t>
      </w:r>
      <w:r w:rsidR="00FD09E9" w:rsidRPr="004314C4">
        <w:rPr>
          <w:rFonts w:hint="eastAsia"/>
        </w:rPr>
        <w:t>个国家级贫困县已全部实现脱贫“摘帽”</w:t>
      </w:r>
      <w:r w:rsidR="006513D1">
        <w:rPr>
          <w:rStyle w:val="af4"/>
        </w:rPr>
        <w:footnoteReference w:id="12"/>
      </w:r>
      <w:r w:rsidR="00FD09E9" w:rsidRPr="004314C4">
        <w:rPr>
          <w:rFonts w:hint="eastAsia"/>
        </w:rPr>
        <w:t>。由此可见</w:t>
      </w:r>
      <w:r w:rsidR="000109D5">
        <w:rPr>
          <w:rFonts w:hint="eastAsia"/>
        </w:rPr>
        <w:t>，</w:t>
      </w:r>
      <w:r w:rsidR="00FD09E9" w:rsidRPr="004314C4">
        <w:rPr>
          <w:rFonts w:hint="eastAsia"/>
        </w:rPr>
        <w:t>证券业在乡村振兴的过程中起到了不可替代的作用。近年来，证券业助力乡村振兴的模式</w:t>
      </w:r>
      <w:r w:rsidR="00E53449" w:rsidRPr="004314C4">
        <w:rPr>
          <w:rFonts w:hint="eastAsia"/>
        </w:rPr>
        <w:t>总结如下</w:t>
      </w:r>
      <w:r w:rsidR="000109D5">
        <w:rPr>
          <w:rFonts w:hint="eastAsia"/>
        </w:rPr>
        <w:t>。</w:t>
      </w:r>
    </w:p>
    <w:p w14:paraId="15D46F79" w14:textId="7BC3E87B" w:rsidR="00873671" w:rsidRPr="004314C4" w:rsidRDefault="009252FC" w:rsidP="00326CD3">
      <w:pPr>
        <w:pStyle w:val="002"/>
        <w:spacing w:before="156" w:after="156"/>
      </w:pPr>
      <w:bookmarkStart w:id="32" w:name="_Toc112089158"/>
      <w:bookmarkStart w:id="33" w:name="_Toc112915741"/>
      <w:r>
        <w:rPr>
          <w:rFonts w:hint="eastAsia"/>
        </w:rPr>
        <w:t>第一节</w:t>
      </w:r>
      <w:r>
        <w:rPr>
          <w:rFonts w:hint="eastAsia"/>
        </w:rPr>
        <w:t xml:space="preserve"> </w:t>
      </w:r>
      <w:r w:rsidR="00873671" w:rsidRPr="004314C4">
        <w:rPr>
          <w:rFonts w:hint="eastAsia"/>
        </w:rPr>
        <w:t>股权融资为乡镇企业拓宽直接融资渠道</w:t>
      </w:r>
      <w:bookmarkEnd w:id="32"/>
      <w:bookmarkEnd w:id="33"/>
    </w:p>
    <w:p w14:paraId="4BA20DAE" w14:textId="1C217EBA" w:rsidR="00C3584A" w:rsidRPr="004314C4" w:rsidRDefault="00C3584A" w:rsidP="004314C4">
      <w:pPr>
        <w:pStyle w:val="005"/>
        <w:ind w:firstLine="480"/>
      </w:pPr>
      <w:r w:rsidRPr="004314C4">
        <w:rPr>
          <w:rFonts w:hint="eastAsia"/>
        </w:rPr>
        <w:t>随着近年来我国资本市场的活力不断增加，多层次的资本市场格局已经形成。股权融资作为证券公司的主要业务，可以借助其专业度来帮助乡镇龙头企业解决融资困难的问题。</w:t>
      </w:r>
      <w:r w:rsidR="00476498" w:rsidRPr="004314C4">
        <w:rPr>
          <w:rFonts w:hint="eastAsia"/>
        </w:rPr>
        <w:t>中国证监会于</w:t>
      </w:r>
      <w:r w:rsidR="00476498" w:rsidRPr="004314C4">
        <w:rPr>
          <w:rFonts w:hint="eastAsia"/>
        </w:rPr>
        <w:t>2</w:t>
      </w:r>
      <w:r w:rsidR="00476498" w:rsidRPr="004314C4">
        <w:t>016</w:t>
      </w:r>
      <w:r w:rsidR="00476498" w:rsidRPr="004314C4">
        <w:rPr>
          <w:rFonts w:hint="eastAsia"/>
        </w:rPr>
        <w:t>年发布贫困地区公司</w:t>
      </w:r>
      <w:r w:rsidR="00476498" w:rsidRPr="004314C4">
        <w:t>IPO</w:t>
      </w:r>
      <w:r w:rsidR="00476498" w:rsidRPr="004314C4">
        <w:rPr>
          <w:rFonts w:hint="eastAsia"/>
        </w:rPr>
        <w:t>绿色通道，发布“</w:t>
      </w:r>
      <w:r w:rsidR="00DD51BD" w:rsidRPr="004314C4">
        <w:rPr>
          <w:rFonts w:hint="eastAsia"/>
        </w:rPr>
        <w:t>即报即审、审过即发</w:t>
      </w:r>
      <w:r w:rsidR="00476498" w:rsidRPr="004314C4">
        <w:rPr>
          <w:rFonts w:hint="eastAsia"/>
        </w:rPr>
        <w:t>”</w:t>
      </w:r>
      <w:r w:rsidR="00DD51BD" w:rsidRPr="004314C4">
        <w:rPr>
          <w:rFonts w:hint="eastAsia"/>
        </w:rPr>
        <w:t>的扶贫新政。证券公司可以帮助贫困地区具有规模的企业在主板市场、创业板、</w:t>
      </w:r>
      <w:proofErr w:type="gramStart"/>
      <w:r w:rsidR="00DD51BD" w:rsidRPr="004314C4">
        <w:rPr>
          <w:rFonts w:hint="eastAsia"/>
        </w:rPr>
        <w:t>科创板</w:t>
      </w:r>
      <w:proofErr w:type="gramEnd"/>
      <w:r w:rsidR="00DD51BD" w:rsidRPr="004314C4">
        <w:rPr>
          <w:rFonts w:hint="eastAsia"/>
        </w:rPr>
        <w:t>、新三板</w:t>
      </w:r>
      <w:r w:rsidR="009C232F" w:rsidRPr="004314C4">
        <w:rPr>
          <w:rFonts w:hint="eastAsia"/>
        </w:rPr>
        <w:t>及其他场外交易市场进行上市融资</w:t>
      </w:r>
      <w:bookmarkStart w:id="34" w:name="_Ref112888360"/>
      <w:r w:rsidR="000E2765">
        <w:rPr>
          <w:rStyle w:val="af4"/>
        </w:rPr>
        <w:footnoteReference w:id="13"/>
      </w:r>
      <w:bookmarkEnd w:id="34"/>
      <w:r w:rsidR="009C232F" w:rsidRPr="004314C4">
        <w:rPr>
          <w:rFonts w:hint="eastAsia"/>
        </w:rPr>
        <w:t>。</w:t>
      </w:r>
      <w:r w:rsidR="00901946" w:rsidRPr="004314C4">
        <w:rPr>
          <w:rFonts w:hint="eastAsia"/>
        </w:rPr>
        <w:t>贫困县企业由于规模有限，新三板挂牌方式成为乡村振兴的主要股权融资手段。</w:t>
      </w:r>
      <w:r w:rsidR="000D4BD2" w:rsidRPr="004314C4">
        <w:rPr>
          <w:rFonts w:hint="eastAsia"/>
        </w:rPr>
        <w:t>2</w:t>
      </w:r>
      <w:r w:rsidR="000D4BD2" w:rsidRPr="004314C4">
        <w:t>020</w:t>
      </w:r>
      <w:r w:rsidR="000D4BD2" w:rsidRPr="004314C4">
        <w:rPr>
          <w:rFonts w:hint="eastAsia"/>
        </w:rPr>
        <w:t>年通过新三板</w:t>
      </w:r>
      <w:r w:rsidR="00F27F80" w:rsidRPr="004314C4">
        <w:rPr>
          <w:rFonts w:hint="eastAsia"/>
        </w:rPr>
        <w:t>针对贫困地区企业</w:t>
      </w:r>
      <w:r w:rsidR="000D4BD2" w:rsidRPr="004314C4">
        <w:rPr>
          <w:rFonts w:hint="eastAsia"/>
        </w:rPr>
        <w:t>开展股权融资</w:t>
      </w:r>
      <w:r w:rsidR="000D4BD2" w:rsidRPr="004314C4">
        <w:t>9.68</w:t>
      </w:r>
      <w:r w:rsidR="000D4BD2" w:rsidRPr="004314C4">
        <w:rPr>
          <w:rFonts w:hint="eastAsia"/>
        </w:rPr>
        <w:t>亿元</w:t>
      </w:r>
      <w:r w:rsidR="006A7114">
        <w:rPr>
          <w:rStyle w:val="af4"/>
        </w:rPr>
        <w:footnoteReference w:id="14"/>
      </w:r>
      <w:r w:rsidR="000D4BD2" w:rsidRPr="004314C4">
        <w:rPr>
          <w:rFonts w:hint="eastAsia"/>
        </w:rPr>
        <w:t>。</w:t>
      </w:r>
      <w:r w:rsidR="00B74FAA" w:rsidRPr="004314C4">
        <w:rPr>
          <w:rFonts w:hint="eastAsia"/>
        </w:rPr>
        <w:t>政策利好缩短了贫困县达标企业的上市时间，而上市时间的缩短，所带来的是企业迅速进入发展快车道</w:t>
      </w:r>
      <w:r w:rsidR="00551418" w:rsidRPr="004314C4">
        <w:rPr>
          <w:rFonts w:hint="eastAsia"/>
        </w:rPr>
        <w:t>。例如</w:t>
      </w:r>
      <w:r w:rsidR="00422F7D" w:rsidRPr="004314C4">
        <w:rPr>
          <w:rFonts w:hint="eastAsia"/>
        </w:rPr>
        <w:t>，</w:t>
      </w:r>
      <w:r w:rsidR="006F7655" w:rsidRPr="004314C4">
        <w:rPr>
          <w:rFonts w:hint="eastAsia"/>
        </w:rPr>
        <w:t>安信证券重点发挥在新三板方面的优势，帮助重庆市丰都县（金</w:t>
      </w:r>
      <w:proofErr w:type="gramStart"/>
      <w:r w:rsidR="006F7655" w:rsidRPr="004314C4">
        <w:rPr>
          <w:rFonts w:hint="eastAsia"/>
        </w:rPr>
        <w:t>籁</w:t>
      </w:r>
      <w:proofErr w:type="gramEnd"/>
      <w:r w:rsidR="006F7655" w:rsidRPr="004314C4">
        <w:rPr>
          <w:rFonts w:hint="eastAsia"/>
        </w:rPr>
        <w:t>科技）、吉林省延边自治州龙井市（巨龙股份）、河南洛阳宜阳县（</w:t>
      </w:r>
      <w:proofErr w:type="gramStart"/>
      <w:r w:rsidR="006F7655" w:rsidRPr="004314C4">
        <w:rPr>
          <w:rFonts w:hint="eastAsia"/>
        </w:rPr>
        <w:t>英开股份</w:t>
      </w:r>
      <w:proofErr w:type="gramEnd"/>
      <w:r w:rsidR="006F7655" w:rsidRPr="004314C4">
        <w:rPr>
          <w:rFonts w:hint="eastAsia"/>
        </w:rPr>
        <w:t>）、江西吉安市遂川县（志博信）、江西赣州石城县（种源农业）、江西上饶县（中大股份）、湖北宜昌秭归县（</w:t>
      </w:r>
      <w:proofErr w:type="gramStart"/>
      <w:r w:rsidR="006F7655" w:rsidRPr="004314C4">
        <w:rPr>
          <w:rFonts w:hint="eastAsia"/>
        </w:rPr>
        <w:t>匡</w:t>
      </w:r>
      <w:proofErr w:type="gramEnd"/>
      <w:r w:rsidR="006F7655" w:rsidRPr="004314C4">
        <w:rPr>
          <w:rFonts w:hint="eastAsia"/>
        </w:rPr>
        <w:t>通电子）、河南省新乡封丘县（山水环境）等国家级贫困县完成</w:t>
      </w:r>
      <w:r w:rsidR="006F7655" w:rsidRPr="004314C4">
        <w:t>8</w:t>
      </w:r>
      <w:r w:rsidR="006F7655" w:rsidRPr="004314C4">
        <w:t>家新三板挂牌项目</w:t>
      </w:r>
      <w:r w:rsidR="00901946" w:rsidRPr="004314C4">
        <w:rPr>
          <w:rFonts w:hint="eastAsia"/>
        </w:rPr>
        <w:t>。</w:t>
      </w:r>
    </w:p>
    <w:p w14:paraId="7FD08036" w14:textId="587B2858" w:rsidR="001A5CDB" w:rsidRPr="004314C4" w:rsidRDefault="001A5CDB" w:rsidP="004314C4">
      <w:pPr>
        <w:pStyle w:val="005"/>
        <w:ind w:firstLine="480"/>
      </w:pPr>
      <w:r w:rsidRPr="004314C4">
        <w:rPr>
          <w:rFonts w:hint="eastAsia"/>
        </w:rPr>
        <w:t>除上市融资以外，帮助地方企业进行并购重组，将贫困县企业融入</w:t>
      </w:r>
      <w:proofErr w:type="gramStart"/>
      <w:r w:rsidR="00A50F4C">
        <w:rPr>
          <w:rFonts w:hint="eastAsia"/>
        </w:rPr>
        <w:t>优质行业</w:t>
      </w:r>
      <w:proofErr w:type="gramEnd"/>
      <w:r w:rsidRPr="004314C4">
        <w:rPr>
          <w:rFonts w:hint="eastAsia"/>
        </w:rPr>
        <w:t>产业链中也是乡村振兴</w:t>
      </w:r>
      <w:proofErr w:type="gramStart"/>
      <w:r w:rsidR="0033177C" w:rsidRPr="004314C4">
        <w:rPr>
          <w:rFonts w:hint="eastAsia"/>
        </w:rPr>
        <w:t>中</w:t>
      </w:r>
      <w:r w:rsidRPr="004314C4">
        <w:rPr>
          <w:rFonts w:hint="eastAsia"/>
        </w:rPr>
        <w:t>证券</w:t>
      </w:r>
      <w:proofErr w:type="gramEnd"/>
      <w:r w:rsidRPr="004314C4">
        <w:rPr>
          <w:rFonts w:hint="eastAsia"/>
        </w:rPr>
        <w:t>业的主要贡献力量。</w:t>
      </w:r>
      <w:r w:rsidR="007962A2" w:rsidRPr="004314C4">
        <w:rPr>
          <w:rFonts w:hint="eastAsia"/>
        </w:rPr>
        <w:t>乡村企业多处于各行业产业链的上游，为行业提供优质的原材料及初加工的服务，通过并购重组可以将产业中下游资源直接</w:t>
      </w:r>
      <w:r w:rsidR="00583804">
        <w:rPr>
          <w:rFonts w:hint="eastAsia"/>
        </w:rPr>
        <w:t>注入</w:t>
      </w:r>
      <w:r w:rsidR="007962A2" w:rsidRPr="004314C4">
        <w:rPr>
          <w:rFonts w:hint="eastAsia"/>
        </w:rPr>
        <w:t>乡村企业，提升</w:t>
      </w:r>
      <w:r w:rsidR="003B6CF0">
        <w:rPr>
          <w:rFonts w:hint="eastAsia"/>
        </w:rPr>
        <w:t>乡村</w:t>
      </w:r>
      <w:r w:rsidR="007962A2" w:rsidRPr="004314C4">
        <w:rPr>
          <w:rFonts w:hint="eastAsia"/>
        </w:rPr>
        <w:t>企业业绩。</w:t>
      </w:r>
      <w:r w:rsidR="00356DB2" w:rsidRPr="004314C4">
        <w:rPr>
          <w:rFonts w:hint="eastAsia"/>
        </w:rPr>
        <w:t>证券公司每年</w:t>
      </w:r>
      <w:r w:rsidR="006B09D5">
        <w:rPr>
          <w:rFonts w:hint="eastAsia"/>
        </w:rPr>
        <w:t>会</w:t>
      </w:r>
      <w:r w:rsidR="00F4449A" w:rsidRPr="004314C4">
        <w:rPr>
          <w:rFonts w:hint="eastAsia"/>
        </w:rPr>
        <w:t>委派专业投资银行团队进行初步调研，深入企业内部对经营、财务潜力进行发掘分析，制定专业化的并购重组方案。</w:t>
      </w:r>
      <w:r w:rsidR="004E5FD3" w:rsidRPr="004314C4">
        <w:rPr>
          <w:rFonts w:hint="eastAsia"/>
        </w:rPr>
        <w:t>例如，光大证券担任财务顾问帮助位</w:t>
      </w:r>
      <w:r w:rsidR="004E5FD3" w:rsidRPr="004314C4">
        <w:rPr>
          <w:rFonts w:hint="eastAsia"/>
        </w:rPr>
        <w:lastRenderedPageBreak/>
        <w:t>于广西</w:t>
      </w:r>
      <w:proofErr w:type="gramStart"/>
      <w:r w:rsidR="004E5FD3" w:rsidRPr="004314C4">
        <w:rPr>
          <w:rFonts w:hint="eastAsia"/>
        </w:rPr>
        <w:t>河池县</w:t>
      </w:r>
      <w:proofErr w:type="gramEnd"/>
      <w:r w:rsidR="004E5FD3" w:rsidRPr="004314C4">
        <w:rPr>
          <w:rFonts w:hint="eastAsia"/>
        </w:rPr>
        <w:t>的河池化工完成重组，</w:t>
      </w:r>
      <w:r w:rsidR="00FC5103" w:rsidRPr="004314C4">
        <w:rPr>
          <w:rFonts w:hint="eastAsia"/>
        </w:rPr>
        <w:t>公司实现由化工企业到医药企业的转型，</w:t>
      </w:r>
      <w:r w:rsidR="004E5FD3" w:rsidRPr="004314C4">
        <w:rPr>
          <w:rFonts w:hint="eastAsia"/>
        </w:rPr>
        <w:t>挽回</w:t>
      </w:r>
      <w:r w:rsidR="00575BF2" w:rsidRPr="004314C4">
        <w:rPr>
          <w:rFonts w:hint="eastAsia"/>
        </w:rPr>
        <w:t>河池化工</w:t>
      </w:r>
      <w:r w:rsidR="004E5FD3" w:rsidRPr="004314C4">
        <w:rPr>
          <w:rFonts w:hint="eastAsia"/>
        </w:rPr>
        <w:t>多年以来亏损的局面</w:t>
      </w:r>
      <w:r w:rsidR="006B28C0">
        <w:rPr>
          <w:rStyle w:val="af4"/>
        </w:rPr>
        <w:footnoteReference w:id="15"/>
      </w:r>
      <w:r w:rsidR="004E5FD3" w:rsidRPr="004314C4">
        <w:rPr>
          <w:rFonts w:hint="eastAsia"/>
        </w:rPr>
        <w:t>。</w:t>
      </w:r>
    </w:p>
    <w:p w14:paraId="3FBC2144" w14:textId="0196E030" w:rsidR="00982EE9" w:rsidRPr="004314C4" w:rsidRDefault="009252FC" w:rsidP="00326CD3">
      <w:pPr>
        <w:pStyle w:val="002"/>
        <w:spacing w:before="156" w:after="156"/>
      </w:pPr>
      <w:bookmarkStart w:id="35" w:name="_Toc112089159"/>
      <w:bookmarkStart w:id="36" w:name="_Toc112915742"/>
      <w:r>
        <w:rPr>
          <w:rFonts w:hint="eastAsia"/>
        </w:rPr>
        <w:t>第二节</w:t>
      </w:r>
      <w:r>
        <w:rPr>
          <w:rFonts w:hint="eastAsia"/>
        </w:rPr>
        <w:t xml:space="preserve"> </w:t>
      </w:r>
      <w:r w:rsidR="00982EE9" w:rsidRPr="004314C4">
        <w:rPr>
          <w:rFonts w:hint="eastAsia"/>
        </w:rPr>
        <w:t>债券融资仍是乡村振兴直接融资的主要力量</w:t>
      </w:r>
      <w:bookmarkEnd w:id="35"/>
      <w:bookmarkEnd w:id="36"/>
    </w:p>
    <w:p w14:paraId="6A8C471D" w14:textId="58EF2C78" w:rsidR="005E2213" w:rsidRPr="004314C4" w:rsidRDefault="00CB1DC5" w:rsidP="004314C4">
      <w:pPr>
        <w:pStyle w:val="005"/>
        <w:ind w:firstLine="480"/>
      </w:pPr>
      <w:r w:rsidRPr="004314C4">
        <w:rPr>
          <w:rFonts w:hint="eastAsia"/>
        </w:rPr>
        <w:t>扶贫攻坚是近年来党和中央的首要任务，为此针对贫困地区国家</w:t>
      </w:r>
      <w:r w:rsidR="00F032FB" w:rsidRPr="004314C4">
        <w:rPr>
          <w:rFonts w:hint="eastAsia"/>
        </w:rPr>
        <w:t>推出</w:t>
      </w:r>
      <w:r w:rsidRPr="004314C4">
        <w:rPr>
          <w:rFonts w:hint="eastAsia"/>
        </w:rPr>
        <w:t>扶贫专项公司债券。扶贫债是交易所债券市场服务国家脱贫攻坚战略的重要举措，为切实打赢脱贫攻坚战提供了更有力的金融支持。</w:t>
      </w:r>
      <w:r w:rsidR="00762294" w:rsidRPr="004314C4">
        <w:t>2020</w:t>
      </w:r>
      <w:r w:rsidR="00762294" w:rsidRPr="004314C4">
        <w:rPr>
          <w:rFonts w:hint="eastAsia"/>
        </w:rPr>
        <w:t>年证券业在贫困地区发行债券（含资产支持证券）累计融资</w:t>
      </w:r>
      <w:r w:rsidR="00762294" w:rsidRPr="004314C4">
        <w:rPr>
          <w:rFonts w:hint="eastAsia"/>
        </w:rPr>
        <w:t>4</w:t>
      </w:r>
      <w:r w:rsidR="00762294" w:rsidRPr="004314C4">
        <w:t>01.91</w:t>
      </w:r>
      <w:r w:rsidR="00762294" w:rsidRPr="004314C4">
        <w:rPr>
          <w:rFonts w:hint="eastAsia"/>
        </w:rPr>
        <w:t>亿元</w:t>
      </w:r>
      <w:r w:rsidR="00885C09">
        <w:rPr>
          <w:rStyle w:val="af4"/>
        </w:rPr>
        <w:footnoteReference w:id="16"/>
      </w:r>
      <w:r w:rsidR="0006148D" w:rsidRPr="004314C4">
        <w:rPr>
          <w:rFonts w:hint="eastAsia"/>
        </w:rPr>
        <w:t>。</w:t>
      </w:r>
      <w:r w:rsidR="00B80EEB" w:rsidRPr="004314C4">
        <w:rPr>
          <w:rFonts w:hint="eastAsia"/>
        </w:rPr>
        <w:t>扶贫债相比其他信用债发行条件相对宽松。</w:t>
      </w:r>
      <w:r w:rsidR="00932959" w:rsidRPr="004314C4">
        <w:rPr>
          <w:rFonts w:hint="eastAsia"/>
        </w:rPr>
        <w:t>从</w:t>
      </w:r>
      <w:r w:rsidR="00B80EEB" w:rsidRPr="004314C4">
        <w:rPr>
          <w:rFonts w:hint="eastAsia"/>
        </w:rPr>
        <w:t>发行方式及发行主体</w:t>
      </w:r>
      <w:r w:rsidR="00932959" w:rsidRPr="004314C4">
        <w:rPr>
          <w:rFonts w:hint="eastAsia"/>
        </w:rPr>
        <w:t>看，主要</w:t>
      </w:r>
      <w:r w:rsidR="00B80EEB" w:rsidRPr="004314C4">
        <w:rPr>
          <w:rFonts w:hint="eastAsia"/>
        </w:rPr>
        <w:t>为私募</w:t>
      </w:r>
      <w:r w:rsidR="00607083" w:rsidRPr="004314C4">
        <w:rPr>
          <w:rFonts w:hint="eastAsia"/>
        </w:rPr>
        <w:t>发行</w:t>
      </w:r>
      <w:r w:rsidR="00B80EEB" w:rsidRPr="004314C4">
        <w:rPr>
          <w:rFonts w:hint="eastAsia"/>
        </w:rPr>
        <w:t>和地方城投企业为主</w:t>
      </w:r>
      <w:r w:rsidR="00A70E63" w:rsidRPr="004314C4">
        <w:rPr>
          <w:rFonts w:hint="eastAsia"/>
        </w:rPr>
        <w:t>，</w:t>
      </w:r>
      <w:r w:rsidR="00B80EEB" w:rsidRPr="004314C4">
        <w:rPr>
          <w:rFonts w:hint="eastAsia"/>
        </w:rPr>
        <w:t>由于经济欠发达地区经济效益落后，债券风险相对较高</w:t>
      </w:r>
      <w:r w:rsidR="005E2213" w:rsidRPr="004314C4">
        <w:rPr>
          <w:rFonts w:hint="eastAsia"/>
        </w:rPr>
        <w:t>。</w:t>
      </w:r>
      <w:r w:rsidR="006E729B">
        <w:rPr>
          <w:rFonts w:hint="eastAsia"/>
        </w:rPr>
        <w:t>同时，</w:t>
      </w:r>
      <w:r w:rsidR="005E2213" w:rsidRPr="004314C4">
        <w:rPr>
          <w:rFonts w:hint="eastAsia"/>
        </w:rPr>
        <w:t>乡村振兴及绿色经济相关主题火热，相关品类债券也随之产生。</w:t>
      </w:r>
      <w:r w:rsidR="00E30C2B" w:rsidRPr="004314C4">
        <w:rPr>
          <w:rFonts w:hint="eastAsia"/>
        </w:rPr>
        <w:t>2</w:t>
      </w:r>
      <w:r w:rsidR="00E30C2B" w:rsidRPr="004314C4">
        <w:t>022</w:t>
      </w:r>
      <w:r w:rsidR="00E30C2B" w:rsidRPr="004314C4">
        <w:rPr>
          <w:rFonts w:hint="eastAsia"/>
        </w:rPr>
        <w:t>年</w:t>
      </w:r>
      <w:r w:rsidR="00E30C2B" w:rsidRPr="004314C4">
        <w:t>8</w:t>
      </w:r>
      <w:r w:rsidR="00E30C2B" w:rsidRPr="004314C4">
        <w:rPr>
          <w:rFonts w:hint="eastAsia"/>
        </w:rPr>
        <w:t>月</w:t>
      </w:r>
      <w:r w:rsidR="00E30C2B" w:rsidRPr="004314C4">
        <w:rPr>
          <w:rFonts w:hint="eastAsia"/>
        </w:rPr>
        <w:t>9</w:t>
      </w:r>
      <w:r w:rsidR="00E30C2B" w:rsidRPr="004314C4">
        <w:rPr>
          <w:rFonts w:hint="eastAsia"/>
        </w:rPr>
        <w:t>日，国泰君安证券担任牵头主承销商的</w:t>
      </w:r>
      <w:proofErr w:type="gramStart"/>
      <w:r w:rsidR="00E30C2B" w:rsidRPr="004314C4">
        <w:rPr>
          <w:rFonts w:hint="eastAsia"/>
        </w:rPr>
        <w:t>浩</w:t>
      </w:r>
      <w:proofErr w:type="gramEnd"/>
      <w:r w:rsidR="00E30C2B" w:rsidRPr="004314C4">
        <w:rPr>
          <w:rFonts w:hint="eastAsia"/>
        </w:rPr>
        <w:t>吉铁路股份有限公司绿色乡村振兴公司债券（支持革命老区）成功发行。此项目为</w:t>
      </w:r>
      <w:proofErr w:type="gramStart"/>
      <w:r w:rsidR="00E30C2B" w:rsidRPr="004314C4">
        <w:rPr>
          <w:rFonts w:hint="eastAsia"/>
        </w:rPr>
        <w:t>全国首单绿色</w:t>
      </w:r>
      <w:proofErr w:type="gramEnd"/>
      <w:r w:rsidR="00E30C2B" w:rsidRPr="004314C4">
        <w:rPr>
          <w:rFonts w:hint="eastAsia"/>
        </w:rPr>
        <w:t>乡村振兴公司债券（支持革命老区），发行规模</w:t>
      </w:r>
      <w:r w:rsidR="00E30C2B" w:rsidRPr="004314C4">
        <w:t>25</w:t>
      </w:r>
      <w:r w:rsidR="00E30C2B" w:rsidRPr="004314C4">
        <w:t>亿元</w:t>
      </w:r>
      <w:r w:rsidR="006028D5" w:rsidRPr="004314C4">
        <w:rPr>
          <w:rFonts w:hint="eastAsia"/>
        </w:rPr>
        <w:t>。</w:t>
      </w:r>
      <w:r w:rsidR="009954B1" w:rsidRPr="004314C4">
        <w:rPr>
          <w:rFonts w:hint="eastAsia"/>
        </w:rPr>
        <w:t>本债券</w:t>
      </w:r>
      <w:r w:rsidR="00B30181" w:rsidRPr="004314C4">
        <w:rPr>
          <w:rFonts w:hint="eastAsia"/>
        </w:rPr>
        <w:t>是</w:t>
      </w:r>
      <w:r w:rsidR="009954B1" w:rsidRPr="004314C4">
        <w:rPr>
          <w:rFonts w:hint="eastAsia"/>
        </w:rPr>
        <w:t>全国首单“绿色债券</w:t>
      </w:r>
      <w:r w:rsidR="009954B1" w:rsidRPr="004314C4">
        <w:t>+</w:t>
      </w:r>
      <w:r w:rsidR="009954B1" w:rsidRPr="004314C4">
        <w:t>乡村振兴债券</w:t>
      </w:r>
      <w:r w:rsidR="009954B1" w:rsidRPr="004314C4">
        <w:t>+</w:t>
      </w:r>
      <w:r w:rsidR="009954B1" w:rsidRPr="004314C4">
        <w:t>革命老区振兴债券</w:t>
      </w:r>
      <w:r w:rsidR="009954B1" w:rsidRPr="00FA46C6">
        <w:rPr>
          <w:rFonts w:ascii="宋体" w:hAnsi="宋体"/>
        </w:rPr>
        <w:t>”</w:t>
      </w:r>
      <w:r w:rsidR="009954B1" w:rsidRPr="004314C4">
        <w:t>的三标债券。为更好支持绿色交通发展，同时贯彻落实国家</w:t>
      </w:r>
      <w:r w:rsidR="009954B1" w:rsidRPr="00FA46C6">
        <w:rPr>
          <w:rFonts w:ascii="宋体" w:hAnsi="宋体"/>
        </w:rPr>
        <w:t>“</w:t>
      </w:r>
      <w:r w:rsidR="009954B1" w:rsidRPr="00FA46C6">
        <w:rPr>
          <w:rFonts w:ascii="宋体" w:hAnsi="宋体" w:hint="eastAsia"/>
        </w:rPr>
        <w:t>十四五</w:t>
      </w:r>
      <w:r w:rsidR="009954B1" w:rsidRPr="00FA46C6">
        <w:rPr>
          <w:rFonts w:ascii="宋体" w:hAnsi="宋体"/>
        </w:rPr>
        <w:t>”</w:t>
      </w:r>
      <w:r w:rsidR="009954B1" w:rsidRPr="004314C4">
        <w:t>时期区域协调发展战略中乡村振兴及革命老区振兴发展的重大任务，发行人拟将本期债券全部募集资金用于</w:t>
      </w:r>
      <w:proofErr w:type="gramStart"/>
      <w:r w:rsidR="009954B1" w:rsidRPr="004314C4">
        <w:t>浩</w:t>
      </w:r>
      <w:proofErr w:type="gramEnd"/>
      <w:r w:rsidR="009954B1" w:rsidRPr="004314C4">
        <w:t>吉铁路尾工工程项目及机车购置。</w:t>
      </w:r>
      <w:r w:rsidR="008C7D71" w:rsidRPr="004314C4">
        <w:rPr>
          <w:rFonts w:hint="eastAsia"/>
        </w:rPr>
        <w:t>由此可见，债券融资为乡村振兴及地区生态文明建设贡献了诸多力量。</w:t>
      </w:r>
    </w:p>
    <w:p w14:paraId="5BE92D93" w14:textId="6A3FE3BD" w:rsidR="007D1082" w:rsidRPr="004314C4" w:rsidRDefault="009252FC" w:rsidP="00326CD3">
      <w:pPr>
        <w:pStyle w:val="002"/>
        <w:spacing w:before="156" w:after="156"/>
      </w:pPr>
      <w:bookmarkStart w:id="37" w:name="_Toc112089160"/>
      <w:bookmarkStart w:id="38" w:name="_Toc112915743"/>
      <w:r>
        <w:rPr>
          <w:rFonts w:hint="eastAsia"/>
        </w:rPr>
        <w:t>第三节</w:t>
      </w:r>
      <w:r>
        <w:t xml:space="preserve"> </w:t>
      </w:r>
      <w:r w:rsidR="007D1082" w:rsidRPr="004314C4">
        <w:rPr>
          <w:rFonts w:hint="eastAsia"/>
        </w:rPr>
        <w:t>相关资产证券化产品辅助振兴乡村经济</w:t>
      </w:r>
      <w:bookmarkEnd w:id="37"/>
      <w:bookmarkEnd w:id="38"/>
    </w:p>
    <w:p w14:paraId="63B943AC" w14:textId="23CC347F" w:rsidR="008712FF" w:rsidRPr="004314C4" w:rsidRDefault="008712FF" w:rsidP="004314C4">
      <w:pPr>
        <w:pStyle w:val="005"/>
        <w:ind w:firstLine="480"/>
      </w:pPr>
      <w:r w:rsidRPr="004314C4">
        <w:rPr>
          <w:rFonts w:hint="eastAsia"/>
        </w:rPr>
        <w:t>证券业相关资产证券化产品主要包括</w:t>
      </w:r>
      <w:r w:rsidRPr="004314C4">
        <w:t>ABS</w:t>
      </w:r>
      <w:r w:rsidRPr="004314C4">
        <w:rPr>
          <w:rFonts w:hint="eastAsia"/>
        </w:rPr>
        <w:t>（资产支持证券）</w:t>
      </w:r>
      <w:r w:rsidR="003931A7" w:rsidRPr="004314C4">
        <w:rPr>
          <w:rFonts w:hint="eastAsia"/>
        </w:rPr>
        <w:t>、</w:t>
      </w:r>
      <w:r w:rsidR="003931A7" w:rsidRPr="004314C4">
        <w:rPr>
          <w:rFonts w:hint="eastAsia"/>
        </w:rPr>
        <w:t>A</w:t>
      </w:r>
      <w:r w:rsidR="003931A7" w:rsidRPr="004314C4">
        <w:t>BN</w:t>
      </w:r>
      <w:r w:rsidR="003931A7" w:rsidRPr="004314C4">
        <w:rPr>
          <w:rFonts w:hint="eastAsia"/>
        </w:rPr>
        <w:t>（资产支持票据）</w:t>
      </w:r>
      <w:r w:rsidR="00E47B15" w:rsidRPr="004314C4">
        <w:rPr>
          <w:rFonts w:hint="eastAsia"/>
        </w:rPr>
        <w:t>。</w:t>
      </w:r>
      <w:r w:rsidR="00E47B15" w:rsidRPr="004314C4">
        <w:rPr>
          <w:rFonts w:hint="eastAsia"/>
        </w:rPr>
        <w:t>2</w:t>
      </w:r>
      <w:r w:rsidR="00E47B15" w:rsidRPr="004314C4">
        <w:t>021</w:t>
      </w:r>
      <w:r w:rsidR="00E47B15" w:rsidRPr="004314C4">
        <w:rPr>
          <w:rFonts w:hint="eastAsia"/>
        </w:rPr>
        <w:t>年中国银行间交易商协会创新</w:t>
      </w:r>
      <w:r w:rsidR="006E729B">
        <w:rPr>
          <w:rFonts w:hint="eastAsia"/>
        </w:rPr>
        <w:t>推出</w:t>
      </w:r>
      <w:r w:rsidR="00E47B15" w:rsidRPr="004314C4">
        <w:rPr>
          <w:rFonts w:hint="eastAsia"/>
        </w:rPr>
        <w:t>乡村振兴票据，旨在通过市场化手段引导鼓励社会资本投资农业农村，重点支持乡村产业发展</w:t>
      </w:r>
      <w:r w:rsidR="00957FBB">
        <w:rPr>
          <w:rFonts w:hint="eastAsia"/>
        </w:rPr>
        <w:t>。</w:t>
      </w:r>
      <w:r w:rsidR="00E47B15" w:rsidRPr="004314C4">
        <w:rPr>
          <w:rFonts w:hint="eastAsia"/>
        </w:rPr>
        <w:t>资产证券化产品为农民保就业增收及未来农业乡村现代化建设提供了有力保障，助力脱贫攻坚从而跃向乡村振兴。</w:t>
      </w:r>
      <w:r w:rsidR="007B59F2" w:rsidRPr="004314C4">
        <w:t>2021</w:t>
      </w:r>
      <w:r w:rsidR="007B59F2" w:rsidRPr="004314C4">
        <w:rPr>
          <w:rFonts w:hint="eastAsia"/>
        </w:rPr>
        <w:t>年</w:t>
      </w:r>
      <w:r w:rsidR="007B59F2" w:rsidRPr="004314C4">
        <w:t>4</w:t>
      </w:r>
      <w:r w:rsidR="007B59F2" w:rsidRPr="004314C4">
        <w:rPr>
          <w:rFonts w:hint="eastAsia"/>
        </w:rPr>
        <w:t>月新希望（天津）</w:t>
      </w:r>
      <w:proofErr w:type="gramStart"/>
      <w:r w:rsidR="007B59F2" w:rsidRPr="004314C4">
        <w:rPr>
          <w:rFonts w:hint="eastAsia"/>
        </w:rPr>
        <w:t>商业保理有限公司</w:t>
      </w:r>
      <w:proofErr w:type="gramEnd"/>
      <w:r w:rsidR="007B59F2" w:rsidRPr="004314C4">
        <w:rPr>
          <w:rFonts w:hint="eastAsia"/>
        </w:rPr>
        <w:t>作为发起机构的“新希望（天津）商业保理有限公司</w:t>
      </w:r>
      <w:r w:rsidR="007B59F2" w:rsidRPr="004314C4">
        <w:t>2021</w:t>
      </w:r>
      <w:r w:rsidR="007B59F2" w:rsidRPr="004314C4">
        <w:t>年度普惠</w:t>
      </w:r>
      <w:r w:rsidR="007B59F2" w:rsidRPr="004314C4">
        <w:t>1</w:t>
      </w:r>
      <w:r w:rsidR="007B59F2" w:rsidRPr="004314C4">
        <w:t>号第一期资产支持商业票据（乡村振兴）</w:t>
      </w:r>
      <w:r w:rsidR="007B59F2" w:rsidRPr="004314C4">
        <w:t>”</w:t>
      </w:r>
      <w:r w:rsidR="007B59F2" w:rsidRPr="004314C4">
        <w:t>成功发行</w:t>
      </w:r>
      <w:r w:rsidR="003814FD" w:rsidRPr="004314C4">
        <w:rPr>
          <w:rFonts w:hint="eastAsia"/>
        </w:rPr>
        <w:t>，发行总规模为</w:t>
      </w:r>
      <w:r w:rsidR="003814FD" w:rsidRPr="004314C4">
        <w:t>2</w:t>
      </w:r>
      <w:r w:rsidR="003814FD" w:rsidRPr="004314C4">
        <w:rPr>
          <w:rFonts w:hint="eastAsia"/>
        </w:rPr>
        <w:t>.</w:t>
      </w:r>
      <w:r w:rsidR="003814FD" w:rsidRPr="004314C4">
        <w:t>35</w:t>
      </w:r>
      <w:r w:rsidR="003814FD" w:rsidRPr="004314C4">
        <w:rPr>
          <w:rFonts w:hint="eastAsia"/>
        </w:rPr>
        <w:t>亿元。</w:t>
      </w:r>
    </w:p>
    <w:p w14:paraId="0C57D6B8" w14:textId="2FC17211" w:rsidR="00EE43BC" w:rsidRPr="004314C4" w:rsidRDefault="009252FC" w:rsidP="00326CD3">
      <w:pPr>
        <w:pStyle w:val="002"/>
        <w:spacing w:before="156" w:after="156"/>
      </w:pPr>
      <w:bookmarkStart w:id="39" w:name="_Toc112089161"/>
      <w:bookmarkStart w:id="40" w:name="_Toc112915744"/>
      <w:r>
        <w:rPr>
          <w:rFonts w:hint="eastAsia"/>
        </w:rPr>
        <w:t>第四节</w:t>
      </w:r>
      <w:r>
        <w:rPr>
          <w:rFonts w:hint="eastAsia"/>
        </w:rPr>
        <w:t xml:space="preserve"> </w:t>
      </w:r>
      <w:r w:rsidR="00EE43BC" w:rsidRPr="004314C4">
        <w:rPr>
          <w:rFonts w:hint="eastAsia"/>
        </w:rPr>
        <w:t>证券业助力地方产业发展，推进乡村振兴</w:t>
      </w:r>
      <w:bookmarkEnd w:id="39"/>
      <w:bookmarkEnd w:id="40"/>
    </w:p>
    <w:p w14:paraId="0E6D1EEE" w14:textId="3403B585" w:rsidR="00EE43BC" w:rsidRPr="004314C4" w:rsidRDefault="00EE43BC" w:rsidP="004314C4">
      <w:pPr>
        <w:pStyle w:val="005"/>
        <w:ind w:firstLine="480"/>
      </w:pPr>
      <w:r w:rsidRPr="004314C4">
        <w:rPr>
          <w:rFonts w:hint="eastAsia"/>
        </w:rPr>
        <w:t>产业振兴是实现乡村振兴最重要的一环，近年来证券业各公司通过结对帮扶各自贫困县，定期组织专家团队深入调研，发掘地方产业发展潜力</w:t>
      </w:r>
      <w:r w:rsidR="00116855">
        <w:rPr>
          <w:rFonts w:hint="eastAsia"/>
        </w:rPr>
        <w:t>，</w:t>
      </w:r>
      <w:r w:rsidRPr="004314C4">
        <w:rPr>
          <w:rFonts w:hint="eastAsia"/>
        </w:rPr>
        <w:t>主要形式为设立产业基金、拓展当地</w:t>
      </w:r>
      <w:r w:rsidRPr="004314C4">
        <w:rPr>
          <w:rFonts w:hint="eastAsia"/>
        </w:rPr>
        <w:lastRenderedPageBreak/>
        <w:t>公司及相关产品的知名度</w:t>
      </w:r>
      <w:r w:rsidR="00E23942" w:rsidRPr="004314C4">
        <w:rPr>
          <w:rFonts w:hint="eastAsia"/>
        </w:rPr>
        <w:t>。</w:t>
      </w:r>
      <w:r w:rsidR="00F14AB8" w:rsidRPr="004314C4">
        <w:rPr>
          <w:rFonts w:hint="eastAsia"/>
        </w:rPr>
        <w:t>中国银河证券自</w:t>
      </w:r>
      <w:r w:rsidR="00F14AB8" w:rsidRPr="004314C4">
        <w:t>2012</w:t>
      </w:r>
      <w:r w:rsidR="00F14AB8" w:rsidRPr="004314C4">
        <w:rPr>
          <w:rFonts w:hint="eastAsia"/>
        </w:rPr>
        <w:t>年开始定向帮扶甘肃省静宁县，累计投入帮扶资金</w:t>
      </w:r>
      <w:r w:rsidR="00F14AB8" w:rsidRPr="004314C4">
        <w:t>1</w:t>
      </w:r>
      <w:r w:rsidR="00F14AB8" w:rsidRPr="004314C4">
        <w:rPr>
          <w:rFonts w:hint="eastAsia"/>
        </w:rPr>
        <w:t>.</w:t>
      </w:r>
      <w:r w:rsidR="00F14AB8" w:rsidRPr="004314C4">
        <w:t>42</w:t>
      </w:r>
      <w:r w:rsidR="00F14AB8" w:rsidRPr="004314C4">
        <w:rPr>
          <w:rFonts w:hint="eastAsia"/>
        </w:rPr>
        <w:t>亿元。</w:t>
      </w:r>
      <w:r w:rsidR="004D7D88" w:rsidRPr="004314C4">
        <w:rPr>
          <w:rFonts w:hint="eastAsia"/>
        </w:rPr>
        <w:t>中国银河证券针对县内苹果产业的优势资源，大力帮扶发展县内苹果高新技术示范园区及繁育基地。授人以鱼，更要授人以渔</w:t>
      </w:r>
      <w:r w:rsidR="000633A7" w:rsidRPr="004314C4">
        <w:rPr>
          <w:rFonts w:hint="eastAsia"/>
        </w:rPr>
        <w:t>，中国银河证券还设立了专项产业发展基金，重点帮扶县内优势主导产业</w:t>
      </w:r>
      <w:r w:rsidR="00D33483">
        <w:rPr>
          <w:rStyle w:val="af4"/>
        </w:rPr>
        <w:footnoteReference w:id="17"/>
      </w:r>
      <w:r w:rsidR="000633A7" w:rsidRPr="004314C4">
        <w:rPr>
          <w:rFonts w:hint="eastAsia"/>
        </w:rPr>
        <w:t>。</w:t>
      </w:r>
    </w:p>
    <w:p w14:paraId="36E2D74B" w14:textId="2E4AF64E" w:rsidR="00E04D1D" w:rsidRPr="004314C4" w:rsidRDefault="009252FC" w:rsidP="00326CD3">
      <w:pPr>
        <w:pStyle w:val="002"/>
        <w:spacing w:before="156" w:after="156"/>
      </w:pPr>
      <w:bookmarkStart w:id="41" w:name="_Toc112089162"/>
      <w:bookmarkStart w:id="42" w:name="_Toc112915745"/>
      <w:r>
        <w:rPr>
          <w:rFonts w:hint="eastAsia"/>
        </w:rPr>
        <w:t>第五节</w:t>
      </w:r>
      <w:r>
        <w:t xml:space="preserve"> </w:t>
      </w:r>
      <w:r w:rsidR="00E04D1D" w:rsidRPr="004314C4">
        <w:rPr>
          <w:rFonts w:hint="eastAsia"/>
        </w:rPr>
        <w:t>教育兴邦，证券业帮扶</w:t>
      </w:r>
      <w:r w:rsidR="007B5C02" w:rsidRPr="004314C4">
        <w:rPr>
          <w:rFonts w:hint="eastAsia"/>
        </w:rPr>
        <w:t>乡村</w:t>
      </w:r>
      <w:r w:rsidR="006C406B">
        <w:rPr>
          <w:rFonts w:hint="eastAsia"/>
        </w:rPr>
        <w:t>实现</w:t>
      </w:r>
      <w:r w:rsidR="00E04D1D" w:rsidRPr="004314C4">
        <w:rPr>
          <w:rFonts w:hint="eastAsia"/>
        </w:rPr>
        <w:t>教育振兴</w:t>
      </w:r>
      <w:bookmarkEnd w:id="41"/>
      <w:bookmarkEnd w:id="42"/>
    </w:p>
    <w:p w14:paraId="7FF5A5C6" w14:textId="732C211C" w:rsidR="001F62B8" w:rsidRDefault="006C2B65" w:rsidP="001F62B8">
      <w:pPr>
        <w:pStyle w:val="005"/>
        <w:ind w:firstLine="480"/>
      </w:pPr>
      <w:r w:rsidRPr="004314C4">
        <w:rPr>
          <w:rFonts w:hint="eastAsia"/>
        </w:rPr>
        <w:t>从证券业</w:t>
      </w:r>
      <w:r w:rsidR="006B68AE" w:rsidRPr="004314C4">
        <w:rPr>
          <w:rFonts w:hint="eastAsia"/>
        </w:rPr>
        <w:t>发出</w:t>
      </w:r>
      <w:r w:rsidRPr="004314C4">
        <w:rPr>
          <w:rFonts w:hint="eastAsia"/>
        </w:rPr>
        <w:t>乡村振兴的号召开始，教育帮扶一直是所有证券公司的</w:t>
      </w:r>
      <w:r w:rsidR="005117FB">
        <w:rPr>
          <w:rFonts w:hint="eastAsia"/>
        </w:rPr>
        <w:t>帮扶</w:t>
      </w:r>
      <w:r w:rsidRPr="004314C4">
        <w:rPr>
          <w:rFonts w:hint="eastAsia"/>
        </w:rPr>
        <w:t>重点工作。证券公司帮助贫困县</w:t>
      </w:r>
      <w:proofErr w:type="gramStart"/>
      <w:r w:rsidRPr="004314C4">
        <w:rPr>
          <w:rFonts w:hint="eastAsia"/>
        </w:rPr>
        <w:t>乡改善</w:t>
      </w:r>
      <w:proofErr w:type="gramEnd"/>
      <w:r w:rsidRPr="004314C4">
        <w:rPr>
          <w:rFonts w:hint="eastAsia"/>
        </w:rPr>
        <w:t>教育设施和条件，资助贫困家庭学生学习生活，设立优秀学生和先进教师奖学金表彰突出贡献</w:t>
      </w:r>
      <w:r w:rsidR="001266D8" w:rsidRPr="004314C4">
        <w:rPr>
          <w:rFonts w:hint="eastAsia"/>
        </w:rPr>
        <w:t>。同时，证券公司开展教师职业技能培训，旨在改善乡村教育教学</w:t>
      </w:r>
      <w:r w:rsidR="00982613">
        <w:rPr>
          <w:rFonts w:hint="eastAsia"/>
        </w:rPr>
        <w:t>质量</w:t>
      </w:r>
      <w:r w:rsidR="001266D8" w:rsidRPr="004314C4">
        <w:rPr>
          <w:rFonts w:hint="eastAsia"/>
        </w:rPr>
        <w:t>问题。</w:t>
      </w:r>
      <w:r w:rsidR="001266D8" w:rsidRPr="004314C4">
        <w:rPr>
          <w:rFonts w:hint="eastAsia"/>
        </w:rPr>
        <w:t>2</w:t>
      </w:r>
      <w:r w:rsidR="001266D8" w:rsidRPr="004314C4">
        <w:t>022</w:t>
      </w:r>
      <w:r w:rsidR="001266D8" w:rsidRPr="004314C4">
        <w:rPr>
          <w:rFonts w:hint="eastAsia"/>
        </w:rPr>
        <w:t>年</w:t>
      </w:r>
      <w:r w:rsidR="001266D8" w:rsidRPr="004314C4">
        <w:t>4</w:t>
      </w:r>
      <w:r w:rsidR="001266D8" w:rsidRPr="004314C4">
        <w:rPr>
          <w:rFonts w:hint="eastAsia"/>
        </w:rPr>
        <w:t>月证券业协会组织发起了主题为“中证</w:t>
      </w:r>
      <w:r w:rsidR="001266D8" w:rsidRPr="004314C4">
        <w:rPr>
          <w:rFonts w:hint="eastAsia"/>
        </w:rPr>
        <w:t>-</w:t>
      </w:r>
      <w:r w:rsidR="001266D8" w:rsidRPr="004314C4">
        <w:rPr>
          <w:rFonts w:hint="eastAsia"/>
        </w:rPr>
        <w:t>爱心成就梦想”的支教活动。通过线上直播课堂，位于山西隰县的</w:t>
      </w:r>
      <w:r w:rsidR="001266D8" w:rsidRPr="004314C4">
        <w:t>2300</w:t>
      </w:r>
      <w:r w:rsidR="001266D8" w:rsidRPr="004314C4">
        <w:t>余名中学生收获了金融财商、传统文化、历史文学、对外关系等许许多多新鲜而有趣的知识。</w:t>
      </w:r>
      <w:r w:rsidR="000C6BD9" w:rsidRPr="004314C4">
        <w:rPr>
          <w:rFonts w:hint="eastAsia"/>
        </w:rPr>
        <w:t>另外，</w:t>
      </w:r>
      <w:r w:rsidR="00EF5747">
        <w:rPr>
          <w:rFonts w:hint="eastAsia"/>
        </w:rPr>
        <w:t>响应</w:t>
      </w:r>
      <w:proofErr w:type="gramStart"/>
      <w:r w:rsidR="000C6BD9" w:rsidRPr="004314C4">
        <w:rPr>
          <w:rFonts w:hint="eastAsia"/>
        </w:rPr>
        <w:t>中证协号召</w:t>
      </w:r>
      <w:proofErr w:type="gramEnd"/>
      <w:r w:rsidR="000C6BD9" w:rsidRPr="004314C4">
        <w:rPr>
          <w:rFonts w:hint="eastAsia"/>
        </w:rPr>
        <w:t>，多家证券公司选派志愿者参加支教活动，来自</w:t>
      </w:r>
      <w:r w:rsidR="000C6BD9" w:rsidRPr="004314C4">
        <w:t>27</w:t>
      </w:r>
      <w:r w:rsidR="000C6BD9" w:rsidRPr="004314C4">
        <w:t>家券商的</w:t>
      </w:r>
      <w:r w:rsidR="000C6BD9" w:rsidRPr="004314C4">
        <w:t>30</w:t>
      </w:r>
      <w:r w:rsidR="000C6BD9" w:rsidRPr="004314C4">
        <w:t>名经验丰富的券商志愿者作为首批支教志愿者，年龄涵盖</w:t>
      </w:r>
      <w:r w:rsidR="000C6BD9" w:rsidRPr="004314C4">
        <w:t>60</w:t>
      </w:r>
      <w:r w:rsidR="000C6BD9" w:rsidRPr="004314C4">
        <w:t>后到</w:t>
      </w:r>
      <w:r w:rsidR="000C6BD9" w:rsidRPr="004314C4">
        <w:t>90</w:t>
      </w:r>
      <w:r w:rsidR="000C6BD9" w:rsidRPr="004314C4">
        <w:t>后，职务涉及公司高管、业务部门负责人和各条线员工。</w:t>
      </w:r>
      <w:proofErr w:type="gramStart"/>
      <w:r w:rsidR="000C6BD9" w:rsidRPr="004314C4">
        <w:t>从具备</w:t>
      </w:r>
      <w:proofErr w:type="gramEnd"/>
      <w:r w:rsidR="000C6BD9" w:rsidRPr="004314C4">
        <w:t>的相关经验及资质看，志愿者</w:t>
      </w:r>
      <w:r w:rsidR="00D85844" w:rsidRPr="004314C4">
        <w:rPr>
          <w:rFonts w:hint="eastAsia"/>
        </w:rPr>
        <w:t>部分</w:t>
      </w:r>
      <w:r w:rsidR="000C6BD9" w:rsidRPr="004314C4">
        <w:t>具备培训师资格，</w:t>
      </w:r>
      <w:r w:rsidR="00D85844" w:rsidRPr="004314C4">
        <w:rPr>
          <w:rFonts w:hint="eastAsia"/>
        </w:rPr>
        <w:t>部分</w:t>
      </w:r>
      <w:r w:rsidR="000C6BD9" w:rsidRPr="004314C4">
        <w:t>具备</w:t>
      </w:r>
      <w:r w:rsidR="000C6BD9" w:rsidRPr="004314C4">
        <w:t>18</w:t>
      </w:r>
      <w:r w:rsidR="000C6BD9" w:rsidRPr="004314C4">
        <w:t>年的培训授课经验，</w:t>
      </w:r>
      <w:r w:rsidR="00D85844" w:rsidRPr="004314C4">
        <w:rPr>
          <w:rFonts w:hint="eastAsia"/>
        </w:rPr>
        <w:t>师资队伍人员</w:t>
      </w:r>
      <w:r w:rsidR="000C6BD9" w:rsidRPr="004314C4">
        <w:t>来自券商</w:t>
      </w:r>
      <w:proofErr w:type="gramStart"/>
      <w:r w:rsidR="000C6BD9" w:rsidRPr="004314C4">
        <w:t>投教基地的投教</w:t>
      </w:r>
      <w:proofErr w:type="gramEnd"/>
      <w:r w:rsidR="000C6BD9" w:rsidRPr="004314C4">
        <w:t>专岗，同时兼任协会、交易所讲师</w:t>
      </w:r>
      <w:r w:rsidR="001E44DB">
        <w:rPr>
          <w:rStyle w:val="af4"/>
        </w:rPr>
        <w:footnoteReference w:id="18"/>
      </w:r>
      <w:r w:rsidR="000C6BD9" w:rsidRPr="004314C4">
        <w:t>。</w:t>
      </w:r>
      <w:r w:rsidR="00BA6DD1" w:rsidRPr="004314C4">
        <w:rPr>
          <w:rFonts w:hint="eastAsia"/>
        </w:rPr>
        <w:t>志愿支教活动在一定程度上解决了贫困地区师资力量不足的问题，同时也能</w:t>
      </w:r>
      <w:r w:rsidR="00521477" w:rsidRPr="004314C4">
        <w:rPr>
          <w:rFonts w:hint="eastAsia"/>
        </w:rPr>
        <w:t>一定程度上</w:t>
      </w:r>
      <w:r w:rsidR="00BA6DD1" w:rsidRPr="004314C4">
        <w:rPr>
          <w:rFonts w:hint="eastAsia"/>
        </w:rPr>
        <w:t>提升地区整体教育素质和水平。</w:t>
      </w:r>
    </w:p>
    <w:p w14:paraId="0B852BA3" w14:textId="50703980" w:rsidR="009252FC" w:rsidRDefault="00A808FB" w:rsidP="001A5C2B">
      <w:pPr>
        <w:pStyle w:val="005"/>
        <w:ind w:firstLine="480"/>
      </w:pPr>
      <w:r w:rsidRPr="001A5C2B">
        <w:t>安信证券</w:t>
      </w:r>
      <w:r w:rsidRPr="001A5C2B">
        <w:rPr>
          <w:rFonts w:hint="eastAsia"/>
        </w:rPr>
        <w:t>一直将教育扶贫作为扶贫振兴的基础性工程，充分激发贫困地区的内在活力和提高贫困地区的教育水平，把扶智作为帮扶的首要任务。公司于</w:t>
      </w:r>
      <w:r w:rsidRPr="001A5C2B">
        <w:rPr>
          <w:rFonts w:hint="eastAsia"/>
        </w:rPr>
        <w:t>2</w:t>
      </w:r>
      <w:r w:rsidRPr="001A5C2B">
        <w:t>016</w:t>
      </w:r>
      <w:r w:rsidRPr="001A5C2B">
        <w:t>年</w:t>
      </w:r>
      <w:r w:rsidRPr="001A5C2B">
        <w:t>11</w:t>
      </w:r>
      <w:r w:rsidRPr="001A5C2B">
        <w:t>月</w:t>
      </w:r>
      <w:r w:rsidRPr="001A5C2B">
        <w:rPr>
          <w:rFonts w:hint="eastAsia"/>
        </w:rPr>
        <w:t>与贵州省罗甸县签订结对帮扶合作框架协议，全面启动了精准扶贫工作。</w:t>
      </w:r>
      <w:r w:rsidR="00AA760F" w:rsidRPr="001A5C2B">
        <w:rPr>
          <w:rFonts w:hint="eastAsia"/>
        </w:rPr>
        <w:t>公司在大</w:t>
      </w:r>
      <w:proofErr w:type="gramStart"/>
      <w:r w:rsidR="00AA760F" w:rsidRPr="001A5C2B">
        <w:rPr>
          <w:rFonts w:hint="eastAsia"/>
        </w:rPr>
        <w:t>亭中心</w:t>
      </w:r>
      <w:proofErr w:type="gramEnd"/>
      <w:r w:rsidR="00AA760F" w:rsidRPr="001A5C2B">
        <w:rPr>
          <w:rFonts w:hint="eastAsia"/>
        </w:rPr>
        <w:t>校铺设管道</w:t>
      </w:r>
      <w:r w:rsidR="00AA760F" w:rsidRPr="001A5C2B">
        <w:t>8.6km</w:t>
      </w:r>
      <w:r w:rsidR="00AA760F" w:rsidRPr="001A5C2B">
        <w:t>、新建</w:t>
      </w:r>
      <w:r w:rsidR="00AA760F" w:rsidRPr="001A5C2B">
        <w:t>60</w:t>
      </w:r>
      <w:r w:rsidR="00AA760F" w:rsidRPr="001A5C2B">
        <w:t>立方米蓄水池</w:t>
      </w:r>
      <w:r w:rsidR="00AA760F" w:rsidRPr="001A5C2B">
        <w:t>1</w:t>
      </w:r>
      <w:r w:rsidR="00AA760F" w:rsidRPr="001A5C2B">
        <w:t>口、学校澡堂</w:t>
      </w:r>
      <w:r w:rsidR="00AA760F" w:rsidRPr="001A5C2B">
        <w:t>1</w:t>
      </w:r>
      <w:r w:rsidR="00AA760F" w:rsidRPr="001A5C2B">
        <w:t>个及配套设施，开展维修学生宿舍楼工程，维修男女生宿舍各</w:t>
      </w:r>
      <w:r w:rsidR="00AA760F" w:rsidRPr="001A5C2B">
        <w:t>20</w:t>
      </w:r>
      <w:r w:rsidR="00AA760F" w:rsidRPr="001A5C2B">
        <w:t>间及配套，解决学生住宿</w:t>
      </w:r>
      <w:r w:rsidR="00AA760F" w:rsidRPr="001A5C2B">
        <w:t>320</w:t>
      </w:r>
      <w:r w:rsidR="00AA760F" w:rsidRPr="001A5C2B">
        <w:t>名；开展大</w:t>
      </w:r>
      <w:proofErr w:type="gramStart"/>
      <w:r w:rsidR="00AA760F" w:rsidRPr="001A5C2B">
        <w:t>亭中心</w:t>
      </w:r>
      <w:proofErr w:type="gramEnd"/>
      <w:r w:rsidR="00AA760F" w:rsidRPr="001A5C2B">
        <w:t>校操场讲台和保坎安全维修工程，惠及学生</w:t>
      </w:r>
      <w:r w:rsidR="00AA760F" w:rsidRPr="001A5C2B">
        <w:t>525</w:t>
      </w:r>
      <w:r w:rsidR="00AA760F" w:rsidRPr="001A5C2B">
        <w:t>名。</w:t>
      </w:r>
      <w:r w:rsidR="0015183F" w:rsidRPr="001A5C2B">
        <w:t>公司</w:t>
      </w:r>
      <w:r w:rsidR="00AA760F" w:rsidRPr="001A5C2B">
        <w:t>在罗甸县第二小学新建两栋学生宿舍楼及建设完善学生食堂，覆盖学生</w:t>
      </w:r>
      <w:r w:rsidR="00AA760F" w:rsidRPr="001A5C2B">
        <w:t>2</w:t>
      </w:r>
      <w:r w:rsidR="00CF7B4B" w:rsidRPr="001A5C2B">
        <w:t>,</w:t>
      </w:r>
      <w:r w:rsidR="00AA760F" w:rsidRPr="001A5C2B">
        <w:t>000</w:t>
      </w:r>
      <w:r w:rsidR="00AA760F" w:rsidRPr="001A5C2B">
        <w:t>名。在罗甸五小修建教学楼一栋，惠及贫困人口</w:t>
      </w:r>
      <w:r w:rsidR="00AA760F" w:rsidRPr="001A5C2B">
        <w:t>4</w:t>
      </w:r>
      <w:r w:rsidR="00241E97" w:rsidRPr="001A5C2B">
        <w:rPr>
          <w:rFonts w:hint="eastAsia"/>
        </w:rPr>
        <w:t>,</w:t>
      </w:r>
      <w:r w:rsidR="00AA760F" w:rsidRPr="001A5C2B">
        <w:t>050</w:t>
      </w:r>
      <w:r w:rsidR="00AA760F" w:rsidRPr="001A5C2B">
        <w:t>人。</w:t>
      </w:r>
      <w:r w:rsidR="0015183F" w:rsidRPr="001A5C2B">
        <w:t>公司</w:t>
      </w:r>
      <w:r w:rsidR="00AA760F" w:rsidRPr="001A5C2B">
        <w:t>为罗甸县</w:t>
      </w:r>
      <w:r w:rsidR="00AA760F" w:rsidRPr="001A5C2B">
        <w:t>19</w:t>
      </w:r>
      <w:r w:rsidR="00AA760F" w:rsidRPr="001A5C2B">
        <w:t>所贫困村幼儿园购置幼教设施，覆盖幼儿学生</w:t>
      </w:r>
      <w:r w:rsidR="00AA760F" w:rsidRPr="001A5C2B">
        <w:t>959</w:t>
      </w:r>
      <w:r w:rsidR="00AA760F" w:rsidRPr="001A5C2B">
        <w:t>人</w:t>
      </w:r>
      <w:r w:rsidR="00B85B12">
        <w:rPr>
          <w:rStyle w:val="af4"/>
        </w:rPr>
        <w:footnoteReference w:id="19"/>
      </w:r>
      <w:r w:rsidR="00AA760F" w:rsidRPr="001A5C2B">
        <w:t>。</w:t>
      </w:r>
      <w:r w:rsidR="0088174A" w:rsidRPr="001A5C2B">
        <w:t>安信证券</w:t>
      </w:r>
      <w:r w:rsidR="0088174A" w:rsidRPr="001A5C2B">
        <w:rPr>
          <w:rFonts w:hint="eastAsia"/>
        </w:rPr>
        <w:t>深刻理解到扶贫工作不等于物质捐赠，</w:t>
      </w:r>
      <w:r w:rsidR="00D9140B" w:rsidRPr="001A5C2B">
        <w:rPr>
          <w:rFonts w:hint="eastAsia"/>
        </w:rPr>
        <w:t>教育振兴是实现帮扶区域振兴的首要议程。</w:t>
      </w:r>
    </w:p>
    <w:p w14:paraId="2C2D8B24" w14:textId="45ADDDE8" w:rsidR="00EC3441" w:rsidRPr="004314C4" w:rsidRDefault="009252FC" w:rsidP="008036CB">
      <w:pPr>
        <w:pStyle w:val="001"/>
        <w:spacing w:before="156" w:after="156"/>
      </w:pPr>
      <w:r>
        <w:br w:type="page"/>
      </w:r>
      <w:bookmarkStart w:id="43" w:name="_Toc112089163"/>
      <w:bookmarkStart w:id="44" w:name="_Toc112915746"/>
      <w:r>
        <w:rPr>
          <w:rFonts w:hint="eastAsia"/>
        </w:rPr>
        <w:lastRenderedPageBreak/>
        <w:t>第四章</w:t>
      </w:r>
      <w:r>
        <w:rPr>
          <w:rFonts w:hint="eastAsia"/>
        </w:rPr>
        <w:t xml:space="preserve"> </w:t>
      </w:r>
      <w:r w:rsidR="009C36D7" w:rsidRPr="004314C4">
        <w:rPr>
          <w:rFonts w:hint="eastAsia"/>
        </w:rPr>
        <w:t>安信证券助力绿春</w:t>
      </w:r>
      <w:r w:rsidR="00757CC0" w:rsidRPr="004314C4">
        <w:rPr>
          <w:rFonts w:hint="eastAsia"/>
        </w:rPr>
        <w:t>发展</w:t>
      </w:r>
      <w:r w:rsidR="00EC3441" w:rsidRPr="004314C4">
        <w:rPr>
          <w:rFonts w:hint="eastAsia"/>
        </w:rPr>
        <w:t>——</w:t>
      </w:r>
      <w:r w:rsidR="009C36D7" w:rsidRPr="004314C4">
        <w:rPr>
          <w:rFonts w:hint="eastAsia"/>
        </w:rPr>
        <w:t>证券业振兴乡村政策建议</w:t>
      </w:r>
      <w:bookmarkEnd w:id="43"/>
      <w:bookmarkEnd w:id="44"/>
    </w:p>
    <w:p w14:paraId="7B7C8FAE" w14:textId="6C3079BD" w:rsidR="005F59F7" w:rsidRPr="004314C4" w:rsidRDefault="00E1247F" w:rsidP="004314C4">
      <w:pPr>
        <w:pStyle w:val="005"/>
        <w:ind w:firstLine="480"/>
      </w:pPr>
      <w:r w:rsidRPr="004314C4">
        <w:rPr>
          <w:rFonts w:hint="eastAsia"/>
        </w:rPr>
        <w:t>近年证券</w:t>
      </w:r>
      <w:r w:rsidR="002B6A37" w:rsidRPr="004314C4">
        <w:rPr>
          <w:rFonts w:hint="eastAsia"/>
        </w:rPr>
        <w:t>公司</w:t>
      </w:r>
      <w:r w:rsidR="003B472E" w:rsidRPr="004314C4">
        <w:rPr>
          <w:rFonts w:hint="eastAsia"/>
        </w:rPr>
        <w:t>中国</w:t>
      </w:r>
      <w:r w:rsidRPr="004314C4">
        <w:rPr>
          <w:rFonts w:hint="eastAsia"/>
        </w:rPr>
        <w:t>在证券业协会的号召鼓舞下，帮扶</w:t>
      </w:r>
      <w:r w:rsidR="00D0608A" w:rsidRPr="004314C4">
        <w:rPr>
          <w:rFonts w:hint="eastAsia"/>
        </w:rPr>
        <w:t>振兴</w:t>
      </w:r>
      <w:r w:rsidRPr="004314C4">
        <w:rPr>
          <w:rFonts w:hint="eastAsia"/>
        </w:rPr>
        <w:t>脱贫攻坚任务硕果累累。经过安信证券调研组近期实地调研绿春县</w:t>
      </w:r>
      <w:r w:rsidR="0087336E" w:rsidRPr="004314C4">
        <w:rPr>
          <w:rFonts w:hint="eastAsia"/>
        </w:rPr>
        <w:t>扶贫振兴既往成果，</w:t>
      </w:r>
      <w:r w:rsidR="00E75593" w:rsidRPr="004314C4">
        <w:rPr>
          <w:rFonts w:hint="eastAsia"/>
        </w:rPr>
        <w:t>结合证券业</w:t>
      </w:r>
      <w:r w:rsidR="007B342D">
        <w:rPr>
          <w:rFonts w:hint="eastAsia"/>
        </w:rPr>
        <w:t>帮扶</w:t>
      </w:r>
      <w:r w:rsidR="00E75593" w:rsidRPr="004314C4">
        <w:rPr>
          <w:rFonts w:hint="eastAsia"/>
        </w:rPr>
        <w:t>乡村振兴</w:t>
      </w:r>
      <w:r w:rsidR="007670E6" w:rsidRPr="004314C4">
        <w:rPr>
          <w:rFonts w:hint="eastAsia"/>
        </w:rPr>
        <w:t>现有</w:t>
      </w:r>
      <w:r w:rsidR="00E75593" w:rsidRPr="004314C4">
        <w:rPr>
          <w:rFonts w:hint="eastAsia"/>
        </w:rPr>
        <w:t>方式</w:t>
      </w:r>
      <w:r w:rsidR="001F62B8">
        <w:rPr>
          <w:rFonts w:hint="eastAsia"/>
        </w:rPr>
        <w:t>以及帮扶贵州</w:t>
      </w:r>
      <w:r w:rsidR="00FD6E68">
        <w:rPr>
          <w:rFonts w:hint="eastAsia"/>
        </w:rPr>
        <w:t>省</w:t>
      </w:r>
      <w:r w:rsidR="001F62B8">
        <w:rPr>
          <w:rFonts w:hint="eastAsia"/>
        </w:rPr>
        <w:t>罗甸</w:t>
      </w:r>
      <w:r w:rsidR="00FD6E68">
        <w:rPr>
          <w:rFonts w:hint="eastAsia"/>
        </w:rPr>
        <w:t>县</w:t>
      </w:r>
      <w:r w:rsidR="001F62B8">
        <w:rPr>
          <w:rFonts w:hint="eastAsia"/>
        </w:rPr>
        <w:t>的已有经验</w:t>
      </w:r>
      <w:r w:rsidR="00E75593" w:rsidRPr="004314C4">
        <w:rPr>
          <w:rFonts w:hint="eastAsia"/>
        </w:rPr>
        <w:t>，</w:t>
      </w:r>
      <w:r w:rsidR="00875117" w:rsidRPr="004314C4">
        <w:rPr>
          <w:rFonts w:hint="eastAsia"/>
        </w:rPr>
        <w:t>现</w:t>
      </w:r>
      <w:r w:rsidR="0087336E" w:rsidRPr="004314C4">
        <w:rPr>
          <w:rFonts w:hint="eastAsia"/>
        </w:rPr>
        <w:t>针对下一阶段帮扶绿春振兴</w:t>
      </w:r>
      <w:r w:rsidR="007670E6">
        <w:rPr>
          <w:rFonts w:hint="eastAsia"/>
        </w:rPr>
        <w:t>及证券业乡村振兴工作</w:t>
      </w:r>
      <w:r w:rsidR="0087336E" w:rsidRPr="004314C4">
        <w:rPr>
          <w:rFonts w:hint="eastAsia"/>
        </w:rPr>
        <w:t>提出</w:t>
      </w:r>
      <w:r w:rsidR="007A5960">
        <w:rPr>
          <w:rFonts w:hint="eastAsia"/>
        </w:rPr>
        <w:t>相关</w:t>
      </w:r>
      <w:r w:rsidR="0087336E" w:rsidRPr="004314C4">
        <w:rPr>
          <w:rFonts w:hint="eastAsia"/>
        </w:rPr>
        <w:t>政策建议</w:t>
      </w:r>
      <w:r w:rsidR="00B81439" w:rsidRPr="004314C4">
        <w:rPr>
          <w:rFonts w:hint="eastAsia"/>
        </w:rPr>
        <w:t>。</w:t>
      </w:r>
    </w:p>
    <w:p w14:paraId="6707B6F4" w14:textId="01F552B8" w:rsidR="00B81439" w:rsidRPr="004314C4" w:rsidRDefault="009252FC" w:rsidP="00326CD3">
      <w:pPr>
        <w:pStyle w:val="002"/>
        <w:spacing w:before="156" w:after="156"/>
      </w:pPr>
      <w:bookmarkStart w:id="45" w:name="_Toc112089164"/>
      <w:bookmarkStart w:id="46" w:name="_Toc112915747"/>
      <w:r>
        <w:rPr>
          <w:rFonts w:hint="eastAsia"/>
        </w:rPr>
        <w:t>第一节</w:t>
      </w:r>
      <w:r>
        <w:rPr>
          <w:rFonts w:hint="eastAsia"/>
        </w:rPr>
        <w:t xml:space="preserve"> </w:t>
      </w:r>
      <w:r w:rsidR="00694A21" w:rsidRPr="004314C4">
        <w:rPr>
          <w:rFonts w:hint="eastAsia"/>
        </w:rPr>
        <w:t>谨防大水漫灌，针对重点领域展开帮扶振兴</w:t>
      </w:r>
      <w:bookmarkEnd w:id="45"/>
      <w:bookmarkEnd w:id="46"/>
    </w:p>
    <w:p w14:paraId="23458492" w14:textId="74DBE59D" w:rsidR="00694A21" w:rsidRPr="004314C4" w:rsidRDefault="00E2791C" w:rsidP="004314C4">
      <w:pPr>
        <w:pStyle w:val="005"/>
        <w:ind w:firstLine="480"/>
      </w:pPr>
      <w:r w:rsidRPr="004314C4">
        <w:rPr>
          <w:rFonts w:hint="eastAsia"/>
        </w:rPr>
        <w:t>乡村振兴，短期</w:t>
      </w:r>
      <w:r w:rsidR="00EB752E">
        <w:rPr>
          <w:rFonts w:hint="eastAsia"/>
        </w:rPr>
        <w:t>重</w:t>
      </w:r>
      <w:r w:rsidRPr="004314C4">
        <w:rPr>
          <w:rFonts w:hint="eastAsia"/>
        </w:rPr>
        <w:t>就业、中期</w:t>
      </w:r>
      <w:r w:rsidR="00EB752E">
        <w:rPr>
          <w:rFonts w:hint="eastAsia"/>
        </w:rPr>
        <w:t>重</w:t>
      </w:r>
      <w:r w:rsidRPr="004314C4">
        <w:rPr>
          <w:rFonts w:hint="eastAsia"/>
        </w:rPr>
        <w:t>产业、长期</w:t>
      </w:r>
      <w:r w:rsidR="00EB752E">
        <w:rPr>
          <w:rFonts w:hint="eastAsia"/>
        </w:rPr>
        <w:t>重</w:t>
      </w:r>
      <w:r w:rsidRPr="004314C4">
        <w:rPr>
          <w:rFonts w:hint="eastAsia"/>
        </w:rPr>
        <w:t>教育。教育振兴作为安信证券近年来帮扶的重点领域，公司以往主要针对</w:t>
      </w:r>
      <w:r w:rsidR="00AC0242" w:rsidRPr="004314C4">
        <w:rPr>
          <w:rFonts w:hint="eastAsia"/>
        </w:rPr>
        <w:t>贫困家庭</w:t>
      </w:r>
      <w:r w:rsidRPr="004314C4">
        <w:rPr>
          <w:rFonts w:hint="eastAsia"/>
        </w:rPr>
        <w:t>乡村助学、教育基础设施</w:t>
      </w:r>
      <w:r w:rsidR="00AC0242" w:rsidRPr="004314C4">
        <w:rPr>
          <w:rFonts w:hint="eastAsia"/>
        </w:rPr>
        <w:t>建设领域展开帮扶。</w:t>
      </w:r>
      <w:r w:rsidR="00827C7C" w:rsidRPr="004314C4">
        <w:rPr>
          <w:rFonts w:hint="eastAsia"/>
        </w:rPr>
        <w:t>安信证券</w:t>
      </w:r>
      <w:r w:rsidR="00D813E4" w:rsidRPr="004314C4">
        <w:rPr>
          <w:rFonts w:hint="eastAsia"/>
        </w:rPr>
        <w:t>已</w:t>
      </w:r>
      <w:r w:rsidR="00827C7C" w:rsidRPr="004314C4">
        <w:rPr>
          <w:rFonts w:hint="eastAsia"/>
        </w:rPr>
        <w:t>与绿春县签订《安信证券股份有限公司乡村振兴助学项目协议书》</w:t>
      </w:r>
      <w:r w:rsidR="005174A2">
        <w:rPr>
          <w:rFonts w:hint="eastAsia"/>
        </w:rPr>
        <w:t>。</w:t>
      </w:r>
      <w:r w:rsidR="00D31547" w:rsidRPr="004314C4">
        <w:rPr>
          <w:rFonts w:hint="eastAsia"/>
        </w:rPr>
        <w:t>根据绿春县人民政府提供的《安信证券帮扶大兴镇</w:t>
      </w:r>
      <w:r w:rsidR="00D31547" w:rsidRPr="004314C4">
        <w:t>2022</w:t>
      </w:r>
      <w:r w:rsidR="00D31547" w:rsidRPr="004314C4">
        <w:t>年扶贫助学实施方案》，计划于</w:t>
      </w:r>
      <w:r w:rsidR="00D31547" w:rsidRPr="004314C4">
        <w:t>2022</w:t>
      </w:r>
      <w:r w:rsidR="00D31547" w:rsidRPr="004314C4">
        <w:t>年投资不少于</w:t>
      </w:r>
      <w:r w:rsidR="00D31547" w:rsidRPr="004314C4">
        <w:t>127.43</w:t>
      </w:r>
      <w:r w:rsidR="00D31547" w:rsidRPr="004314C4">
        <w:t>万元用于公益帮扶，其中对大兴镇坡头小学食堂建设项目帮扶</w:t>
      </w:r>
      <w:r w:rsidR="00D31547" w:rsidRPr="004314C4">
        <w:t>80</w:t>
      </w:r>
      <w:r w:rsidR="00D31547" w:rsidRPr="004314C4">
        <w:t>万元，对三八街中心村托幼一体化校园建设项目帮扶</w:t>
      </w:r>
      <w:r w:rsidR="00D31547" w:rsidRPr="004314C4">
        <w:t>22.83</w:t>
      </w:r>
      <w:r w:rsidR="00D31547" w:rsidRPr="004314C4">
        <w:t>万元，对安信助学金、安信孤残儿童助学金和暖冬计划帮扶</w:t>
      </w:r>
      <w:r w:rsidR="00D31547" w:rsidRPr="004314C4">
        <w:t>24.60</w:t>
      </w:r>
      <w:r w:rsidR="00D31547" w:rsidRPr="004314C4">
        <w:t>万元。</w:t>
      </w:r>
    </w:p>
    <w:p w14:paraId="402C7E21" w14:textId="6A2F9CA7" w:rsidR="00F4531F" w:rsidRPr="004314C4" w:rsidRDefault="00F4531F" w:rsidP="004314C4">
      <w:pPr>
        <w:pStyle w:val="005"/>
        <w:ind w:firstLine="480"/>
      </w:pPr>
      <w:r w:rsidRPr="004314C4">
        <w:t>由于</w:t>
      </w:r>
      <w:r w:rsidRPr="004314C4">
        <w:rPr>
          <w:rFonts w:hint="eastAsia"/>
        </w:rPr>
        <w:t>绿春县目前多处教育机构缺乏必要的教育</w:t>
      </w:r>
      <w:r w:rsidR="00E66F32" w:rsidRPr="004314C4">
        <w:rPr>
          <w:rFonts w:hint="eastAsia"/>
        </w:rPr>
        <w:t>基础设施</w:t>
      </w:r>
      <w:r w:rsidRPr="004314C4">
        <w:rPr>
          <w:rFonts w:hint="eastAsia"/>
        </w:rPr>
        <w:t>，</w:t>
      </w:r>
      <w:r w:rsidR="005174A2">
        <w:rPr>
          <w:rFonts w:hint="eastAsia"/>
        </w:rPr>
        <w:t>同时</w:t>
      </w:r>
      <w:r w:rsidR="00A66AFB" w:rsidRPr="004314C4">
        <w:rPr>
          <w:rFonts w:hint="eastAsia"/>
        </w:rPr>
        <w:t>帮扶资金</w:t>
      </w:r>
      <w:r w:rsidR="00B23F4C" w:rsidRPr="004314C4">
        <w:rPr>
          <w:rFonts w:hint="eastAsia"/>
        </w:rPr>
        <w:t>有限</w:t>
      </w:r>
      <w:r w:rsidR="00A66AFB" w:rsidRPr="004314C4">
        <w:rPr>
          <w:rFonts w:hint="eastAsia"/>
        </w:rPr>
        <w:t>，</w:t>
      </w:r>
      <w:r w:rsidR="00A66AFB" w:rsidRPr="004314C4">
        <w:t>为了避免</w:t>
      </w:r>
      <w:r w:rsidR="00A66AFB" w:rsidRPr="004314C4">
        <w:rPr>
          <w:rFonts w:hint="eastAsia"/>
        </w:rPr>
        <w:t>大水漫灌的现象，</w:t>
      </w:r>
      <w:r w:rsidR="00E66F32" w:rsidRPr="004314C4">
        <w:rPr>
          <w:rFonts w:hint="eastAsia"/>
        </w:rPr>
        <w:t>在现有帮扶预算范围内，集中资金力量投入重点项目是未来的帮扶趋势。</w:t>
      </w:r>
      <w:r w:rsidR="00E51DD9" w:rsidRPr="004314C4">
        <w:rPr>
          <w:rFonts w:hint="eastAsia"/>
        </w:rPr>
        <w:t>绿春县的学前教育资源匮乏是限制全县教育水平发展的</w:t>
      </w:r>
      <w:r w:rsidR="0034690A" w:rsidRPr="004314C4">
        <w:rPr>
          <w:rFonts w:hint="eastAsia"/>
        </w:rPr>
        <w:t>关键问题，许多乡镇边远村落尚未形成学前教育机构的覆盖</w:t>
      </w:r>
      <w:r w:rsidR="00592F1D" w:rsidRPr="004314C4">
        <w:t>，村落</w:t>
      </w:r>
      <w:proofErr w:type="gramStart"/>
      <w:r w:rsidR="00592F1D" w:rsidRPr="004314C4">
        <w:t>内家庭</w:t>
      </w:r>
      <w:proofErr w:type="gramEnd"/>
      <w:r w:rsidR="00592F1D" w:rsidRPr="004314C4">
        <w:rPr>
          <w:rFonts w:hint="eastAsia"/>
        </w:rPr>
        <w:t>幼儿无法享受到应有的学前教育资源</w:t>
      </w:r>
      <w:r w:rsidR="00592F1D" w:rsidRPr="004314C4">
        <w:t>，</w:t>
      </w:r>
      <w:r w:rsidR="00592F1D" w:rsidRPr="004314C4">
        <w:rPr>
          <w:rFonts w:hint="eastAsia"/>
        </w:rPr>
        <w:t>进而影响幼儿</w:t>
      </w:r>
      <w:r w:rsidR="002E37BB" w:rsidRPr="004314C4">
        <w:rPr>
          <w:rFonts w:hint="eastAsia"/>
        </w:rPr>
        <w:t>培养良好的</w:t>
      </w:r>
      <w:r w:rsidR="00592F1D" w:rsidRPr="004314C4">
        <w:rPr>
          <w:rFonts w:hint="eastAsia"/>
        </w:rPr>
        <w:t>学习习惯和兴趣。</w:t>
      </w:r>
      <w:r w:rsidR="00C84751" w:rsidRPr="004314C4">
        <w:rPr>
          <w:rFonts w:hint="eastAsia"/>
        </w:rPr>
        <w:t>未来安信证券将</w:t>
      </w:r>
      <w:r w:rsidR="0000057F" w:rsidRPr="004314C4">
        <w:rPr>
          <w:rFonts w:hint="eastAsia"/>
        </w:rPr>
        <w:t>依托“三八街中心村托幼一体化校园建设项目”，</w:t>
      </w:r>
      <w:r w:rsidR="00C84751" w:rsidRPr="004314C4">
        <w:rPr>
          <w:rFonts w:hint="eastAsia"/>
        </w:rPr>
        <w:t>加大对学前教育资源的帮扶和扩展</w:t>
      </w:r>
      <w:r w:rsidR="0000057F" w:rsidRPr="004314C4">
        <w:rPr>
          <w:rFonts w:hint="eastAsia"/>
        </w:rPr>
        <w:t>。</w:t>
      </w:r>
    </w:p>
    <w:p w14:paraId="054473AC" w14:textId="1F9F366A" w:rsidR="00257260" w:rsidRPr="004314C4" w:rsidRDefault="00257260" w:rsidP="004314C4">
      <w:pPr>
        <w:pStyle w:val="005"/>
        <w:ind w:firstLine="480"/>
      </w:pPr>
      <w:r w:rsidRPr="004314C4">
        <w:rPr>
          <w:rFonts w:hint="eastAsia"/>
        </w:rPr>
        <w:t>师资资源的匮乏也是阻碍绿春县教育质量发展的一大重点</w:t>
      </w:r>
      <w:r w:rsidR="000560C9">
        <w:rPr>
          <w:rFonts w:hint="eastAsia"/>
        </w:rPr>
        <w:t>问题</w:t>
      </w:r>
      <w:r w:rsidRPr="004314C4">
        <w:rPr>
          <w:rFonts w:hint="eastAsia"/>
        </w:rPr>
        <w:t>。师资资源分配不均衡，教师资源不稳定以及后备力量不足都是困难的具体表现。</w:t>
      </w:r>
      <w:r w:rsidR="00E624B7" w:rsidRPr="004314C4">
        <w:rPr>
          <w:rFonts w:hint="eastAsia"/>
        </w:rPr>
        <w:t>未来安信证券规划将一部分帮扶资金投入到奖励乡村教师</w:t>
      </w:r>
      <w:r w:rsidR="000B5B1E">
        <w:rPr>
          <w:rFonts w:hint="eastAsia"/>
        </w:rPr>
        <w:t>领域</w:t>
      </w:r>
      <w:r w:rsidR="00E624B7" w:rsidRPr="004314C4">
        <w:rPr>
          <w:rFonts w:hint="eastAsia"/>
        </w:rPr>
        <w:t>当中。通过设立优秀教师奖金，一方面激励现有教师的教学主动性，另一方面可以增加绿春县教师岗位的吸引力，</w:t>
      </w:r>
      <w:r w:rsidR="00633072" w:rsidRPr="004314C4">
        <w:rPr>
          <w:rFonts w:hint="eastAsia"/>
        </w:rPr>
        <w:t>让更多的青年教师加入到绿春教育行业当中来。</w:t>
      </w:r>
    </w:p>
    <w:p w14:paraId="4D0B0AB3" w14:textId="220BD6BA" w:rsidR="00282D81" w:rsidRPr="004314C4" w:rsidRDefault="009252FC" w:rsidP="00326CD3">
      <w:pPr>
        <w:pStyle w:val="002"/>
        <w:spacing w:before="156" w:after="156"/>
      </w:pPr>
      <w:bookmarkStart w:id="47" w:name="_Toc112089165"/>
      <w:bookmarkStart w:id="48" w:name="_Toc112915748"/>
      <w:r>
        <w:rPr>
          <w:rFonts w:hint="eastAsia"/>
        </w:rPr>
        <w:t>第二节</w:t>
      </w:r>
      <w:r>
        <w:rPr>
          <w:rFonts w:hint="eastAsia"/>
        </w:rPr>
        <w:t xml:space="preserve"> </w:t>
      </w:r>
      <w:r w:rsidR="00282D81" w:rsidRPr="004314C4">
        <w:rPr>
          <w:rFonts w:hint="eastAsia"/>
        </w:rPr>
        <w:t>产业经济振兴需要因地制宜</w:t>
      </w:r>
      <w:r w:rsidR="008E3EE7" w:rsidRPr="004314C4">
        <w:rPr>
          <w:rFonts w:hint="eastAsia"/>
        </w:rPr>
        <w:t>，消费帮扶效果不容忽视</w:t>
      </w:r>
      <w:bookmarkEnd w:id="47"/>
      <w:bookmarkEnd w:id="48"/>
    </w:p>
    <w:p w14:paraId="27C782EE" w14:textId="47492895" w:rsidR="00282D81" w:rsidRPr="004314C4" w:rsidRDefault="00723A83" w:rsidP="004314C4">
      <w:pPr>
        <w:pStyle w:val="005"/>
        <w:ind w:firstLine="480"/>
      </w:pPr>
      <w:r w:rsidRPr="004314C4">
        <w:rPr>
          <w:rFonts w:hint="eastAsia"/>
        </w:rPr>
        <w:t>优化融资环境是产业振兴的</w:t>
      </w:r>
      <w:proofErr w:type="gramStart"/>
      <w:r w:rsidRPr="004314C4">
        <w:rPr>
          <w:rFonts w:hint="eastAsia"/>
        </w:rPr>
        <w:t>一</w:t>
      </w:r>
      <w:proofErr w:type="gramEnd"/>
      <w:r w:rsidRPr="004314C4">
        <w:rPr>
          <w:rFonts w:hint="eastAsia"/>
        </w:rPr>
        <w:t>大前提。帮助贫困地区龙头企业挂牌新三板及发行债券两大直接融资手段可以快速为当地企业提供大量资金。</w:t>
      </w:r>
      <w:r w:rsidR="00AE07FA">
        <w:rPr>
          <w:rFonts w:hint="eastAsia"/>
        </w:rPr>
        <w:t>但是，</w:t>
      </w:r>
      <w:r w:rsidRPr="004314C4">
        <w:rPr>
          <w:rFonts w:hint="eastAsia"/>
        </w:rPr>
        <w:t>许多贫困县企业未能具备</w:t>
      </w:r>
      <w:r w:rsidR="007444D5" w:rsidRPr="004314C4">
        <w:rPr>
          <w:rFonts w:hint="eastAsia"/>
        </w:rPr>
        <w:t>股权融</w:t>
      </w:r>
      <w:r w:rsidR="007444D5" w:rsidRPr="004314C4">
        <w:rPr>
          <w:rFonts w:hint="eastAsia"/>
        </w:rPr>
        <w:lastRenderedPageBreak/>
        <w:t>资</w:t>
      </w:r>
      <w:r w:rsidRPr="004314C4">
        <w:rPr>
          <w:rFonts w:hint="eastAsia"/>
        </w:rPr>
        <w:t>的基本条件，企业规模还需要长期发展。</w:t>
      </w:r>
      <w:r w:rsidR="003C32F2">
        <w:rPr>
          <w:rFonts w:hint="eastAsia"/>
        </w:rPr>
        <w:t>从</w:t>
      </w:r>
      <w:r w:rsidR="005330F1">
        <w:rPr>
          <w:rFonts w:hint="eastAsia"/>
        </w:rPr>
        <w:t>债权</w:t>
      </w:r>
      <w:r w:rsidR="008E3EE7" w:rsidRPr="004314C4">
        <w:rPr>
          <w:rFonts w:hint="eastAsia"/>
        </w:rPr>
        <w:t>融资来看，发行公司债券的风险较高，地方融资平台及相关城投企业尚未具备优秀</w:t>
      </w:r>
      <w:r w:rsidR="009254A8">
        <w:rPr>
          <w:rFonts w:hint="eastAsia"/>
        </w:rPr>
        <w:t>的</w:t>
      </w:r>
      <w:r w:rsidR="008E3EE7" w:rsidRPr="004314C4">
        <w:rPr>
          <w:rFonts w:hint="eastAsia"/>
        </w:rPr>
        <w:t>债券发行条件。</w:t>
      </w:r>
      <w:r w:rsidR="00110C75" w:rsidRPr="004314C4">
        <w:rPr>
          <w:rFonts w:hint="eastAsia"/>
        </w:rPr>
        <w:t>优化融资渠道更多需要结合证券公司自身的资源，</w:t>
      </w:r>
      <w:r w:rsidR="00E53470" w:rsidRPr="004314C4">
        <w:rPr>
          <w:rFonts w:hint="eastAsia"/>
        </w:rPr>
        <w:t>连接</w:t>
      </w:r>
      <w:r w:rsidR="00110C75" w:rsidRPr="004314C4">
        <w:rPr>
          <w:rFonts w:hint="eastAsia"/>
        </w:rPr>
        <w:t>经济发达地区相同产业内上下游公司</w:t>
      </w:r>
      <w:r w:rsidR="00BC3601" w:rsidRPr="004314C4">
        <w:rPr>
          <w:rFonts w:hint="eastAsia"/>
        </w:rPr>
        <w:t>，通过签订合作协议及</w:t>
      </w:r>
      <w:r w:rsidR="003D1C8F" w:rsidRPr="004314C4">
        <w:rPr>
          <w:rFonts w:hint="eastAsia"/>
        </w:rPr>
        <w:t>引入</w:t>
      </w:r>
      <w:r w:rsidR="00554FBC">
        <w:rPr>
          <w:rFonts w:hint="eastAsia"/>
        </w:rPr>
        <w:t>战略投资者</w:t>
      </w:r>
      <w:r w:rsidR="003D1C8F" w:rsidRPr="004314C4">
        <w:rPr>
          <w:rFonts w:hint="eastAsia"/>
        </w:rPr>
        <w:t>、吸收合并整体上市</w:t>
      </w:r>
      <w:r w:rsidR="00BC3601" w:rsidRPr="004314C4">
        <w:rPr>
          <w:rFonts w:hint="eastAsia"/>
        </w:rPr>
        <w:t>来</w:t>
      </w:r>
      <w:r w:rsidR="00A86798" w:rsidRPr="004314C4">
        <w:rPr>
          <w:rFonts w:hint="eastAsia"/>
        </w:rPr>
        <w:t>与贫困地区企业建立</w:t>
      </w:r>
      <w:r w:rsidR="00E6691D">
        <w:rPr>
          <w:rFonts w:hint="eastAsia"/>
        </w:rPr>
        <w:t>资本关系</w:t>
      </w:r>
      <w:r w:rsidR="00FB573C" w:rsidRPr="004314C4">
        <w:rPr>
          <w:rFonts w:hint="eastAsia"/>
        </w:rPr>
        <w:t>，从而</w:t>
      </w:r>
      <w:r w:rsidR="00E40184" w:rsidRPr="004314C4">
        <w:rPr>
          <w:rFonts w:hint="eastAsia"/>
        </w:rPr>
        <w:t>利用</w:t>
      </w:r>
      <w:r w:rsidR="00FB573C" w:rsidRPr="004314C4">
        <w:rPr>
          <w:rFonts w:hint="eastAsia"/>
        </w:rPr>
        <w:t>招商引资</w:t>
      </w:r>
      <w:r w:rsidR="003D1C8F" w:rsidRPr="004314C4">
        <w:rPr>
          <w:rFonts w:hint="eastAsia"/>
        </w:rPr>
        <w:t>的方式</w:t>
      </w:r>
      <w:r w:rsidR="00E40184" w:rsidRPr="004314C4">
        <w:rPr>
          <w:rFonts w:hint="eastAsia"/>
        </w:rPr>
        <w:t>来实现产业振兴的目的。</w:t>
      </w:r>
    </w:p>
    <w:p w14:paraId="55DD41EA" w14:textId="2F743509" w:rsidR="00336776" w:rsidRPr="004314C4" w:rsidRDefault="00336776" w:rsidP="004314C4">
      <w:pPr>
        <w:pStyle w:val="005"/>
        <w:ind w:firstLine="480"/>
      </w:pPr>
      <w:r w:rsidRPr="004314C4">
        <w:rPr>
          <w:rFonts w:hint="eastAsia"/>
        </w:rPr>
        <w:t>消费帮扶的效果可以助力当地产业的短期发展，汇聚短期效果形成长期</w:t>
      </w:r>
      <w:r w:rsidR="002B5462" w:rsidRPr="004314C4">
        <w:rPr>
          <w:rFonts w:hint="eastAsia"/>
        </w:rPr>
        <w:t>产业</w:t>
      </w:r>
      <w:r w:rsidRPr="004314C4">
        <w:rPr>
          <w:rFonts w:hint="eastAsia"/>
        </w:rPr>
        <w:t>振兴动力。</w:t>
      </w:r>
      <w:r w:rsidR="002B5462" w:rsidRPr="004314C4">
        <w:rPr>
          <w:rFonts w:hint="eastAsia"/>
        </w:rPr>
        <w:t>直接购买并推广绿春</w:t>
      </w:r>
      <w:proofErr w:type="gramStart"/>
      <w:r w:rsidR="002B5462" w:rsidRPr="004314C4">
        <w:rPr>
          <w:rFonts w:hint="eastAsia"/>
        </w:rPr>
        <w:t>县特色</w:t>
      </w:r>
      <w:proofErr w:type="gramEnd"/>
      <w:r w:rsidR="002B5462" w:rsidRPr="004314C4">
        <w:rPr>
          <w:rFonts w:hint="eastAsia"/>
        </w:rPr>
        <w:t>农产品可以直接为当地居民创收。同时，通过安信证券自身及客户渠道向社会推广，促进绿春</w:t>
      </w:r>
      <w:proofErr w:type="gramStart"/>
      <w:r w:rsidR="002B5462" w:rsidRPr="004314C4">
        <w:rPr>
          <w:rFonts w:hint="eastAsia"/>
        </w:rPr>
        <w:t>县当地</w:t>
      </w:r>
      <w:proofErr w:type="gramEnd"/>
      <w:r w:rsidR="002B5462" w:rsidRPr="004314C4">
        <w:rPr>
          <w:rFonts w:hint="eastAsia"/>
        </w:rPr>
        <w:t>特色产品产业的良性发展。具体</w:t>
      </w:r>
      <w:r w:rsidR="00E624B1">
        <w:rPr>
          <w:rFonts w:hint="eastAsia"/>
        </w:rPr>
        <w:t>方式</w:t>
      </w:r>
      <w:r w:rsidR="002B5462" w:rsidRPr="004314C4">
        <w:rPr>
          <w:rFonts w:hint="eastAsia"/>
        </w:rPr>
        <w:t>还可通过广告、电子商务渠道宣传，广泛拓宽绿春县茶叶等特色农产品多样化的营销渠道，树立并持续扩大绿春茶的品牌知名度，提高终端消费者的认可度和忠诚度。</w:t>
      </w:r>
      <w:r w:rsidR="00982C65" w:rsidRPr="004314C4">
        <w:t>2022</w:t>
      </w:r>
      <w:r w:rsidR="00982C65" w:rsidRPr="004314C4">
        <w:rPr>
          <w:rFonts w:hint="eastAsia"/>
        </w:rPr>
        <w:t>年，安信证券拟投入产品推介资金</w:t>
      </w:r>
      <w:r w:rsidR="00982C65" w:rsidRPr="004314C4">
        <w:rPr>
          <w:rFonts w:hint="eastAsia"/>
        </w:rPr>
        <w:t>1</w:t>
      </w:r>
      <w:r w:rsidR="00982C65" w:rsidRPr="004314C4">
        <w:t>09</w:t>
      </w:r>
      <w:r w:rsidR="00982C65" w:rsidRPr="004314C4">
        <w:rPr>
          <w:rFonts w:hint="eastAsia"/>
        </w:rPr>
        <w:t>万元，旨在为全社会推广绿春特色产业产品。</w:t>
      </w:r>
    </w:p>
    <w:p w14:paraId="4570682A" w14:textId="0794ABD6" w:rsidR="00D336C7" w:rsidRPr="004314C4" w:rsidRDefault="009252FC" w:rsidP="00326CD3">
      <w:pPr>
        <w:pStyle w:val="002"/>
        <w:spacing w:before="156" w:after="156"/>
      </w:pPr>
      <w:bookmarkStart w:id="49" w:name="_Toc112089166"/>
      <w:bookmarkStart w:id="50" w:name="_Toc112915749"/>
      <w:r>
        <w:rPr>
          <w:rFonts w:hint="eastAsia"/>
        </w:rPr>
        <w:t>第三节</w:t>
      </w:r>
      <w:r>
        <w:rPr>
          <w:rFonts w:hint="eastAsia"/>
        </w:rPr>
        <w:t xml:space="preserve"> </w:t>
      </w:r>
      <w:r w:rsidR="00D336C7" w:rsidRPr="004314C4">
        <w:rPr>
          <w:rFonts w:hint="eastAsia"/>
        </w:rPr>
        <w:t>“要想富先修路”，大力支持交通建设实现乡村振兴</w:t>
      </w:r>
      <w:bookmarkEnd w:id="49"/>
      <w:bookmarkEnd w:id="50"/>
    </w:p>
    <w:p w14:paraId="5AEDA259" w14:textId="457E504E" w:rsidR="00B43C28" w:rsidRDefault="00E81CB6" w:rsidP="004314C4">
      <w:pPr>
        <w:pStyle w:val="005"/>
        <w:ind w:firstLine="480"/>
      </w:pPr>
      <w:r w:rsidRPr="004314C4">
        <w:rPr>
          <w:rFonts w:hint="eastAsia"/>
        </w:rPr>
        <w:t>乡村振兴交通先行。交通是经济发展的大动脉，加强农村交通基础设施建设是实现乡村产业兴旺、农民稳收增收的关键。建设农村产业之路、生态之路、文明之路、致富之路是乡村振兴的基础性工程，要让农副产品不仅运得出来，还要运得高效，进而助推乡村振兴，实现产业兴旺，农村繁荣，农民富裕。“四好农村路”建设必将给农业生产链、效益链、生态链、环境链和价值链带来重大变革，加速助推乡村振兴。</w:t>
      </w:r>
      <w:r w:rsidR="00C93180" w:rsidRPr="004314C4">
        <w:rPr>
          <w:rFonts w:hint="eastAsia"/>
        </w:rPr>
        <w:t>针对实地调研绿春县交通情况</w:t>
      </w:r>
      <w:r w:rsidRPr="004314C4">
        <w:rPr>
          <w:rFonts w:hint="eastAsia"/>
        </w:rPr>
        <w:t>，安信证券</w:t>
      </w:r>
      <w:r w:rsidR="00360D23" w:rsidRPr="004314C4">
        <w:rPr>
          <w:rFonts w:hint="eastAsia"/>
        </w:rPr>
        <w:t>未来将重点开展交通道路建设资金的投入</w:t>
      </w:r>
      <w:r w:rsidRPr="004314C4">
        <w:rPr>
          <w:rFonts w:hint="eastAsia"/>
        </w:rPr>
        <w:t>。</w:t>
      </w:r>
      <w:r w:rsidRPr="004314C4">
        <w:t>2022</w:t>
      </w:r>
      <w:r w:rsidRPr="004314C4">
        <w:t>年拟重点启动实施</w:t>
      </w:r>
      <w:r w:rsidR="00CE10B0">
        <w:rPr>
          <w:rFonts w:hint="eastAsia"/>
        </w:rPr>
        <w:t>“</w:t>
      </w:r>
      <w:r w:rsidR="00CE10B0" w:rsidRPr="004314C4">
        <w:t>绿春县大黑山镇老</w:t>
      </w:r>
      <w:r w:rsidR="00CE10B0" w:rsidRPr="004314C4">
        <w:rPr>
          <w:rFonts w:hint="eastAsia"/>
        </w:rPr>
        <w:t>柏</w:t>
      </w:r>
      <w:r w:rsidR="00CE10B0" w:rsidRPr="004314C4">
        <w:t>寨村阿巴的村民小组至李仙江</w:t>
      </w:r>
      <w:r w:rsidR="00CE10B0" w:rsidRPr="004314C4">
        <w:rPr>
          <w:rFonts w:hint="eastAsia"/>
        </w:rPr>
        <w:t>重要通道的道路硬化</w:t>
      </w:r>
      <w:r w:rsidR="00CE10B0">
        <w:rPr>
          <w:rFonts w:hint="eastAsia"/>
        </w:rPr>
        <w:t>”</w:t>
      </w:r>
      <w:r w:rsidRPr="004314C4">
        <w:rPr>
          <w:rFonts w:hint="eastAsia"/>
        </w:rPr>
        <w:t>项目。</w:t>
      </w:r>
      <w:r w:rsidR="00A912AF" w:rsidRPr="004314C4">
        <w:rPr>
          <w:rFonts w:hint="eastAsia"/>
        </w:rPr>
        <w:t>本段道路涉及</w:t>
      </w:r>
      <w:proofErr w:type="gramStart"/>
      <w:r w:rsidR="00A912AF" w:rsidRPr="004314C4">
        <w:rPr>
          <w:rFonts w:hint="eastAsia"/>
        </w:rPr>
        <w:t>老柏寨</w:t>
      </w:r>
      <w:proofErr w:type="gramEnd"/>
      <w:r w:rsidR="00A912AF" w:rsidRPr="004314C4">
        <w:rPr>
          <w:rFonts w:hint="eastAsia"/>
        </w:rPr>
        <w:t>村委会下辖阿巴</w:t>
      </w:r>
      <w:proofErr w:type="gramStart"/>
      <w:r w:rsidR="00A912AF" w:rsidRPr="004314C4">
        <w:rPr>
          <w:rFonts w:hint="eastAsia"/>
        </w:rPr>
        <w:t>巴</w:t>
      </w:r>
      <w:proofErr w:type="gramEnd"/>
      <w:r w:rsidR="00A912AF" w:rsidRPr="004314C4">
        <w:rPr>
          <w:rFonts w:hint="eastAsia"/>
        </w:rPr>
        <w:t>的、红毛绿二组、亚迷、新寨等村民小组及区域。道路覆盖橡胶产业面积达</w:t>
      </w:r>
      <w:r w:rsidR="00A912AF" w:rsidRPr="004314C4">
        <w:rPr>
          <w:rFonts w:hint="eastAsia"/>
        </w:rPr>
        <w:t>2</w:t>
      </w:r>
      <w:r w:rsidR="005E74A2">
        <w:rPr>
          <w:rFonts w:hint="eastAsia"/>
        </w:rPr>
        <w:t>,</w:t>
      </w:r>
      <w:r w:rsidR="00A912AF" w:rsidRPr="004314C4">
        <w:t>260</w:t>
      </w:r>
      <w:r w:rsidR="00A912AF" w:rsidRPr="004314C4">
        <w:rPr>
          <w:rFonts w:hint="eastAsia"/>
        </w:rPr>
        <w:t>亩，产业路硬化建设</w:t>
      </w:r>
      <w:r w:rsidR="00CE10B0">
        <w:rPr>
          <w:rFonts w:hint="eastAsia"/>
        </w:rPr>
        <w:t>能够</w:t>
      </w:r>
      <w:r w:rsidR="00A912AF" w:rsidRPr="004314C4">
        <w:rPr>
          <w:rFonts w:hint="eastAsia"/>
        </w:rPr>
        <w:t>解决橡胶采收运输困难、群众日常出行不便、贫困群众增收缓慢等诸多问题。</w:t>
      </w:r>
    </w:p>
    <w:p w14:paraId="18EA7833" w14:textId="2B5D6281" w:rsidR="0073133E" w:rsidRPr="004314C4" w:rsidRDefault="00934A0F" w:rsidP="0073133E">
      <w:pPr>
        <w:pStyle w:val="002"/>
        <w:spacing w:before="156" w:after="156"/>
      </w:pPr>
      <w:bookmarkStart w:id="51" w:name="_Toc112915750"/>
      <w:r>
        <w:rPr>
          <w:rFonts w:hint="eastAsia"/>
        </w:rPr>
        <w:t>第四节</w:t>
      </w:r>
      <w:r>
        <w:rPr>
          <w:rFonts w:hint="eastAsia"/>
        </w:rPr>
        <w:t xml:space="preserve"> </w:t>
      </w:r>
      <w:r w:rsidR="0073133E">
        <w:rPr>
          <w:rFonts w:hint="eastAsia"/>
        </w:rPr>
        <w:t>借鉴罗甸模式</w:t>
      </w:r>
      <w:r w:rsidR="0073133E" w:rsidRPr="004314C4">
        <w:rPr>
          <w:rFonts w:hint="eastAsia"/>
        </w:rPr>
        <w:t>，</w:t>
      </w:r>
      <w:r w:rsidR="0073133E">
        <w:rPr>
          <w:rFonts w:hint="eastAsia"/>
        </w:rPr>
        <w:t>助力绿春振兴</w:t>
      </w:r>
      <w:bookmarkEnd w:id="51"/>
    </w:p>
    <w:p w14:paraId="27D245E1" w14:textId="2C703D0E" w:rsidR="0073133E" w:rsidRDefault="004E1EB7" w:rsidP="004314C4">
      <w:pPr>
        <w:pStyle w:val="005"/>
        <w:ind w:firstLine="480"/>
      </w:pPr>
      <w:r>
        <w:rPr>
          <w:rFonts w:hint="eastAsia"/>
        </w:rPr>
        <w:t>安信证券近年</w:t>
      </w:r>
      <w:r w:rsidR="00CE50B4">
        <w:rPr>
          <w:rFonts w:hint="eastAsia"/>
        </w:rPr>
        <w:t>来</w:t>
      </w:r>
      <w:r w:rsidR="00AD1ECF">
        <w:rPr>
          <w:rFonts w:hint="eastAsia"/>
        </w:rPr>
        <w:t>积极响应</w:t>
      </w:r>
      <w:r w:rsidR="009F194C">
        <w:rPr>
          <w:rFonts w:hint="eastAsia"/>
        </w:rPr>
        <w:t>中国</w:t>
      </w:r>
      <w:r>
        <w:rPr>
          <w:rFonts w:hint="eastAsia"/>
        </w:rPr>
        <w:t>证券业协会脱贫帮扶的行动倡议，</w:t>
      </w:r>
      <w:r>
        <w:rPr>
          <w:rFonts w:hint="eastAsia"/>
        </w:rPr>
        <w:t>2</w:t>
      </w:r>
      <w:r>
        <w:t>016</w:t>
      </w:r>
      <w:r>
        <w:rPr>
          <w:rFonts w:hint="eastAsia"/>
        </w:rPr>
        <w:t>年</w:t>
      </w:r>
      <w:r>
        <w:t>-2020</w:t>
      </w:r>
      <w:r>
        <w:rPr>
          <w:rFonts w:hint="eastAsia"/>
        </w:rPr>
        <w:t>年通过与贵州省罗甸县签订结对帮扶合作框架协议，圆满完成精准扶贫任务。通过以教育扶贫为基础，产业</w:t>
      </w:r>
      <w:r w:rsidR="00C82867">
        <w:rPr>
          <w:rFonts w:hint="eastAsia"/>
        </w:rPr>
        <w:t>及</w:t>
      </w:r>
      <w:r>
        <w:rPr>
          <w:rFonts w:hint="eastAsia"/>
        </w:rPr>
        <w:t>交通扶贫为重点，金融扶贫为辅的模式，</w:t>
      </w:r>
      <w:r>
        <w:rPr>
          <w:rFonts w:hint="eastAsia"/>
        </w:rPr>
        <w:t>2</w:t>
      </w:r>
      <w:r>
        <w:t>020</w:t>
      </w:r>
      <w:r>
        <w:rPr>
          <w:rFonts w:hint="eastAsia"/>
        </w:rPr>
        <w:t>年</w:t>
      </w:r>
      <w:r>
        <w:t>3</w:t>
      </w:r>
      <w:r>
        <w:rPr>
          <w:rFonts w:hint="eastAsia"/>
        </w:rPr>
        <w:t>月</w:t>
      </w:r>
      <w:r>
        <w:t>3</w:t>
      </w:r>
      <w:r>
        <w:rPr>
          <w:rFonts w:hint="eastAsia"/>
        </w:rPr>
        <w:t>日帮助罗甸县正式退出国家级</w:t>
      </w:r>
      <w:r>
        <w:rPr>
          <w:rFonts w:hint="eastAsia"/>
        </w:rPr>
        <w:lastRenderedPageBreak/>
        <w:t>贫困县序列</w:t>
      </w:r>
      <w:r w:rsidR="00BF5522">
        <w:rPr>
          <w:rFonts w:hint="eastAsia"/>
        </w:rPr>
        <w:t>，提前一年摘掉了绝对贫困</w:t>
      </w:r>
      <w:r w:rsidR="003414A9">
        <w:rPr>
          <w:rFonts w:hint="eastAsia"/>
        </w:rPr>
        <w:t>的</w:t>
      </w:r>
      <w:r w:rsidR="00BF5522">
        <w:rPr>
          <w:rFonts w:hint="eastAsia"/>
        </w:rPr>
        <w:t>标签</w:t>
      </w:r>
      <w:r w:rsidR="00292D7A">
        <w:rPr>
          <w:rStyle w:val="af4"/>
        </w:rPr>
        <w:footnoteReference w:id="20"/>
      </w:r>
      <w:r w:rsidR="00BF5522">
        <w:rPr>
          <w:rFonts w:hint="eastAsia"/>
        </w:rPr>
        <w:t>。</w:t>
      </w:r>
    </w:p>
    <w:p w14:paraId="40B9B28C" w14:textId="43C8C273" w:rsidR="00064B9B" w:rsidRDefault="00BF5522" w:rsidP="004314C4">
      <w:pPr>
        <w:pStyle w:val="005"/>
        <w:ind w:firstLine="480"/>
      </w:pPr>
      <w:r>
        <w:rPr>
          <w:rFonts w:hint="eastAsia"/>
        </w:rPr>
        <w:t>参考罗甸成功脱贫的模式，安信证券在现有成果的基础上，可以将罗甸模式的优秀</w:t>
      </w:r>
      <w:r w:rsidR="00482399">
        <w:rPr>
          <w:rFonts w:hint="eastAsia"/>
        </w:rPr>
        <w:t>思路应用于现阶段帮扶绿春县振兴的工作当中。</w:t>
      </w:r>
      <w:r w:rsidR="00F463AA">
        <w:rPr>
          <w:rFonts w:hint="eastAsia"/>
        </w:rPr>
        <w:t>例如，</w:t>
      </w:r>
      <w:r w:rsidR="000D6735">
        <w:rPr>
          <w:rFonts w:hint="eastAsia"/>
        </w:rPr>
        <w:t>安信证券于罗甸县</w:t>
      </w:r>
      <w:r w:rsidR="00F463AA">
        <w:rPr>
          <w:rFonts w:hint="eastAsia"/>
        </w:rPr>
        <w:t>开展</w:t>
      </w:r>
      <w:r w:rsidR="000D6735">
        <w:rPr>
          <w:rFonts w:hint="eastAsia"/>
        </w:rPr>
        <w:t>的</w:t>
      </w:r>
      <w:r w:rsidR="00F463AA">
        <w:rPr>
          <w:rFonts w:hint="eastAsia"/>
        </w:rPr>
        <w:t>社会公益事业工作中，</w:t>
      </w:r>
      <w:r w:rsidR="008467CF">
        <w:rPr>
          <w:rFonts w:hint="eastAsia"/>
        </w:rPr>
        <w:t>公司</w:t>
      </w:r>
      <w:r w:rsidR="00F463AA">
        <w:rPr>
          <w:rFonts w:hint="eastAsia"/>
        </w:rPr>
        <w:t>充分发挥总分联动的机制，积极会同各个贫困</w:t>
      </w:r>
      <w:r w:rsidR="00BB3819">
        <w:rPr>
          <w:rFonts w:hint="eastAsia"/>
        </w:rPr>
        <w:t>乡</w:t>
      </w:r>
      <w:r w:rsidR="007B42A2">
        <w:rPr>
          <w:rFonts w:hint="eastAsia"/>
        </w:rPr>
        <w:t>镇</w:t>
      </w:r>
      <w:r w:rsidR="00F463AA">
        <w:rPr>
          <w:rFonts w:hint="eastAsia"/>
        </w:rPr>
        <w:t>政府部门及公益组织展开</w:t>
      </w:r>
      <w:r w:rsidR="000D6735">
        <w:rPr>
          <w:rFonts w:hint="eastAsia"/>
        </w:rPr>
        <w:t>全力</w:t>
      </w:r>
      <w:r w:rsidR="00F463AA">
        <w:rPr>
          <w:rFonts w:hint="eastAsia"/>
        </w:rPr>
        <w:t>帮扶</w:t>
      </w:r>
      <w:r w:rsidR="000D6735">
        <w:rPr>
          <w:rFonts w:hint="eastAsia"/>
        </w:rPr>
        <w:t>。</w:t>
      </w:r>
      <w:r w:rsidR="007F32BE">
        <w:rPr>
          <w:rFonts w:hint="eastAsia"/>
        </w:rPr>
        <w:t>由此，</w:t>
      </w:r>
      <w:r w:rsidR="000D6735">
        <w:rPr>
          <w:rFonts w:hint="eastAsia"/>
        </w:rPr>
        <w:t>通过</w:t>
      </w:r>
      <w:r w:rsidR="0063610D">
        <w:rPr>
          <w:rFonts w:hint="eastAsia"/>
        </w:rPr>
        <w:t>过往</w:t>
      </w:r>
      <w:r w:rsidR="000D6735">
        <w:rPr>
          <w:rFonts w:hint="eastAsia"/>
        </w:rPr>
        <w:t>帮扶绿春</w:t>
      </w:r>
      <w:proofErr w:type="gramStart"/>
      <w:r w:rsidR="000D6735">
        <w:rPr>
          <w:rFonts w:hint="eastAsia"/>
        </w:rPr>
        <w:t>县</w:t>
      </w:r>
      <w:r w:rsidR="007F32BE">
        <w:rPr>
          <w:rFonts w:hint="eastAsia"/>
        </w:rPr>
        <w:t>核心</w:t>
      </w:r>
      <w:proofErr w:type="gramEnd"/>
      <w:r w:rsidR="007F32BE">
        <w:rPr>
          <w:rFonts w:hint="eastAsia"/>
        </w:rPr>
        <w:t>乡镇</w:t>
      </w:r>
      <w:r w:rsidR="000D6735">
        <w:rPr>
          <w:rFonts w:hint="eastAsia"/>
        </w:rPr>
        <w:t>大兴镇积累的成果，</w:t>
      </w:r>
      <w:r w:rsidR="00EC7C2E">
        <w:rPr>
          <w:rFonts w:hint="eastAsia"/>
        </w:rPr>
        <w:t>助力</w:t>
      </w:r>
      <w:r w:rsidR="000D6735">
        <w:rPr>
          <w:rFonts w:hint="eastAsia"/>
        </w:rPr>
        <w:t>县内各</w:t>
      </w:r>
      <w:r w:rsidR="001B0AB8">
        <w:rPr>
          <w:rFonts w:hint="eastAsia"/>
        </w:rPr>
        <w:t>乡</w:t>
      </w:r>
      <w:r w:rsidR="000D6735">
        <w:rPr>
          <w:rFonts w:hint="eastAsia"/>
        </w:rPr>
        <w:t>镇经济、产业、文化教育全方位的</w:t>
      </w:r>
      <w:r w:rsidR="00446E17">
        <w:rPr>
          <w:rFonts w:hint="eastAsia"/>
        </w:rPr>
        <w:t>交流，发扬先富带动后富的精神。</w:t>
      </w:r>
      <w:r w:rsidR="00531676">
        <w:rPr>
          <w:rFonts w:hint="eastAsia"/>
        </w:rPr>
        <w:t>同时，</w:t>
      </w:r>
      <w:r w:rsidR="00681E84">
        <w:rPr>
          <w:rFonts w:hint="eastAsia"/>
        </w:rPr>
        <w:t>公司</w:t>
      </w:r>
      <w:r w:rsidR="003A629F">
        <w:rPr>
          <w:rFonts w:hint="eastAsia"/>
        </w:rPr>
        <w:t>可以</w:t>
      </w:r>
      <w:r w:rsidR="00531676">
        <w:rPr>
          <w:rFonts w:hint="eastAsia"/>
        </w:rPr>
        <w:t>利用安信证券内部各条线</w:t>
      </w:r>
      <w:r w:rsidR="00A044BE">
        <w:rPr>
          <w:rFonts w:hint="eastAsia"/>
        </w:rPr>
        <w:t>、</w:t>
      </w:r>
      <w:r w:rsidR="00531676">
        <w:rPr>
          <w:rFonts w:hint="eastAsia"/>
        </w:rPr>
        <w:t>分支机构的资源，宣传罗甸脱贫成功的优质案例，在人力</w:t>
      </w:r>
      <w:r w:rsidR="00A044BE">
        <w:rPr>
          <w:rFonts w:hint="eastAsia"/>
        </w:rPr>
        <w:t>、</w:t>
      </w:r>
      <w:r w:rsidR="00531676">
        <w:rPr>
          <w:rFonts w:hint="eastAsia"/>
        </w:rPr>
        <w:t>物力</w:t>
      </w:r>
      <w:r w:rsidR="00A044BE">
        <w:rPr>
          <w:rFonts w:hint="eastAsia"/>
        </w:rPr>
        <w:t>、</w:t>
      </w:r>
      <w:r w:rsidR="00531676">
        <w:rPr>
          <w:rFonts w:hint="eastAsia"/>
        </w:rPr>
        <w:t>政策执行</w:t>
      </w:r>
      <w:proofErr w:type="gramStart"/>
      <w:r w:rsidR="00531676">
        <w:rPr>
          <w:rFonts w:hint="eastAsia"/>
        </w:rPr>
        <w:t>力</w:t>
      </w:r>
      <w:r w:rsidR="00A044BE">
        <w:rPr>
          <w:rFonts w:hint="eastAsia"/>
        </w:rPr>
        <w:t>各</w:t>
      </w:r>
      <w:r w:rsidR="00531676">
        <w:rPr>
          <w:rFonts w:hint="eastAsia"/>
        </w:rPr>
        <w:t>方</w:t>
      </w:r>
      <w:proofErr w:type="gramEnd"/>
      <w:r w:rsidR="00531676">
        <w:rPr>
          <w:rFonts w:hint="eastAsia"/>
        </w:rPr>
        <w:t>面产生合力，共同投身振兴绿春的工作中来。</w:t>
      </w:r>
      <w:r w:rsidR="0019388A" w:rsidRPr="0019388A">
        <w:rPr>
          <w:rFonts w:hint="eastAsia"/>
        </w:rPr>
        <w:t>零售业务线组织分支机构积极联系</w:t>
      </w:r>
      <w:r w:rsidR="00A255A2">
        <w:rPr>
          <w:rFonts w:hint="eastAsia"/>
        </w:rPr>
        <w:t>绿春县</w:t>
      </w:r>
      <w:r w:rsidR="0019388A" w:rsidRPr="0019388A">
        <w:rPr>
          <w:rFonts w:hint="eastAsia"/>
        </w:rPr>
        <w:t>融资项目；投行业务</w:t>
      </w:r>
      <w:proofErr w:type="gramStart"/>
      <w:r w:rsidR="0019388A" w:rsidRPr="0019388A">
        <w:rPr>
          <w:rFonts w:hint="eastAsia"/>
        </w:rPr>
        <w:t>线积极</w:t>
      </w:r>
      <w:proofErr w:type="gramEnd"/>
      <w:r w:rsidR="0019388A" w:rsidRPr="0019388A">
        <w:rPr>
          <w:rFonts w:hint="eastAsia"/>
        </w:rPr>
        <w:t>跟踪储备县</w:t>
      </w:r>
      <w:r w:rsidR="00A255A2">
        <w:rPr>
          <w:rFonts w:hint="eastAsia"/>
        </w:rPr>
        <w:t>内</w:t>
      </w:r>
      <w:r w:rsidR="0019388A" w:rsidRPr="0019388A">
        <w:rPr>
          <w:rFonts w:hint="eastAsia"/>
        </w:rPr>
        <w:t>平台公司融资业务；投行国际业务团队通过将项目执行和精准</w:t>
      </w:r>
      <w:r w:rsidR="007232B2">
        <w:rPr>
          <w:rFonts w:hint="eastAsia"/>
        </w:rPr>
        <w:t>帮扶</w:t>
      </w:r>
      <w:r w:rsidR="0019388A" w:rsidRPr="0019388A">
        <w:rPr>
          <w:rFonts w:hint="eastAsia"/>
        </w:rPr>
        <w:t>工作有机挂钩，主动设计帮扶方案</w:t>
      </w:r>
      <w:r w:rsidR="007300D3">
        <w:rPr>
          <w:rFonts w:hint="eastAsia"/>
        </w:rPr>
        <w:t>，</w:t>
      </w:r>
      <w:proofErr w:type="gramStart"/>
      <w:r w:rsidR="0019388A" w:rsidRPr="0019388A">
        <w:rPr>
          <w:rFonts w:hint="eastAsia"/>
        </w:rPr>
        <w:t>有力帮助</w:t>
      </w:r>
      <w:r w:rsidR="002805E2">
        <w:rPr>
          <w:rFonts w:hint="eastAsia"/>
        </w:rPr>
        <w:t>绿春县</w:t>
      </w:r>
      <w:r w:rsidR="0019388A" w:rsidRPr="0019388A">
        <w:rPr>
          <w:rFonts w:hint="eastAsia"/>
        </w:rPr>
        <w:t>提高</w:t>
      </w:r>
      <w:proofErr w:type="gramEnd"/>
      <w:r w:rsidR="0019388A" w:rsidRPr="0019388A">
        <w:rPr>
          <w:rFonts w:hint="eastAsia"/>
        </w:rPr>
        <w:t>利用资本市场促进经济发展的能力。</w:t>
      </w:r>
    </w:p>
    <w:p w14:paraId="07D87FBC" w14:textId="77777777" w:rsidR="00064B9B" w:rsidRDefault="00064B9B">
      <w:pPr>
        <w:widowControl/>
        <w:numPr>
          <w:ilvl w:val="0"/>
          <w:numId w:val="0"/>
        </w:numPr>
        <w:jc w:val="left"/>
        <w:rPr>
          <w:rFonts w:ascii="Times New Roman" w:eastAsia="宋体" w:hAnsi="Times New Roman" w:cs="Times New Roman"/>
          <w:sz w:val="24"/>
        </w:rPr>
      </w:pPr>
      <w:r>
        <w:br w:type="page"/>
      </w:r>
    </w:p>
    <w:p w14:paraId="258D318A" w14:textId="438F0A8B" w:rsidR="0073485B" w:rsidRPr="004314C4" w:rsidRDefault="0073485B" w:rsidP="00326CD3">
      <w:pPr>
        <w:pStyle w:val="001"/>
        <w:spacing w:before="156" w:after="156"/>
      </w:pPr>
      <w:bookmarkStart w:id="52" w:name="_Toc112089167"/>
      <w:bookmarkStart w:id="53" w:name="_Toc112915751"/>
      <w:r w:rsidRPr="004314C4">
        <w:rPr>
          <w:rFonts w:hint="eastAsia"/>
        </w:rPr>
        <w:lastRenderedPageBreak/>
        <w:t>结</w:t>
      </w:r>
      <w:r w:rsidR="009E29F1">
        <w:rPr>
          <w:rFonts w:hint="eastAsia"/>
        </w:rPr>
        <w:t xml:space="preserve"> </w:t>
      </w:r>
      <w:r w:rsidR="009E29F1">
        <w:t xml:space="preserve"> </w:t>
      </w:r>
      <w:r w:rsidRPr="004314C4">
        <w:rPr>
          <w:rFonts w:hint="eastAsia"/>
        </w:rPr>
        <w:t>语</w:t>
      </w:r>
      <w:bookmarkEnd w:id="52"/>
      <w:bookmarkEnd w:id="53"/>
    </w:p>
    <w:p w14:paraId="0ED75FE8" w14:textId="6C4A699E" w:rsidR="00886744" w:rsidRDefault="0073485B" w:rsidP="00886744">
      <w:pPr>
        <w:pStyle w:val="005"/>
        <w:ind w:firstLine="480"/>
      </w:pPr>
      <w:r w:rsidRPr="004314C4">
        <w:rPr>
          <w:rFonts w:hint="eastAsia"/>
        </w:rPr>
        <w:t>乡村振兴，是国家</w:t>
      </w:r>
      <w:r w:rsidR="003645EC">
        <w:rPr>
          <w:rFonts w:hint="eastAsia"/>
        </w:rPr>
        <w:t>战略</w:t>
      </w:r>
      <w:r w:rsidRPr="004314C4">
        <w:rPr>
          <w:rFonts w:hint="eastAsia"/>
        </w:rPr>
        <w:t>的重要组成部分，是党实现社会主义现代化建设</w:t>
      </w:r>
      <w:r w:rsidR="001A00F6" w:rsidRPr="004314C4">
        <w:rPr>
          <w:rFonts w:hint="eastAsia"/>
        </w:rPr>
        <w:t>的</w:t>
      </w:r>
      <w:r w:rsidRPr="004314C4">
        <w:rPr>
          <w:rFonts w:hint="eastAsia"/>
        </w:rPr>
        <w:t>垫脚石。</w:t>
      </w:r>
      <w:r w:rsidR="00595476" w:rsidRPr="004314C4">
        <w:rPr>
          <w:rFonts w:hint="eastAsia"/>
        </w:rPr>
        <w:t>证券业在脱贫攻坚与乡村振兴等任务中积极带领业内证券公司履行社会责任，投身精准扶贫和帮扶振兴的伟大工作当中。安信证券作为具有国有企业背景的证券公司，更应主动担当</w:t>
      </w:r>
      <w:r w:rsidR="00F07BE4" w:rsidRPr="004314C4">
        <w:rPr>
          <w:rFonts w:hint="eastAsia"/>
        </w:rPr>
        <w:t>帮助</w:t>
      </w:r>
      <w:r w:rsidR="00595476" w:rsidRPr="004314C4">
        <w:rPr>
          <w:rFonts w:hint="eastAsia"/>
        </w:rPr>
        <w:t>乡村振兴的</w:t>
      </w:r>
      <w:r w:rsidR="00F878B1" w:rsidRPr="004314C4">
        <w:rPr>
          <w:rFonts w:hint="eastAsia"/>
        </w:rPr>
        <w:t>责任。</w:t>
      </w:r>
      <w:r w:rsidR="00C05E19" w:rsidRPr="004314C4">
        <w:rPr>
          <w:rFonts w:hint="eastAsia"/>
        </w:rPr>
        <w:t>公司</w:t>
      </w:r>
      <w:r w:rsidR="002768FF" w:rsidRPr="004314C4">
        <w:rPr>
          <w:rFonts w:hint="eastAsia"/>
        </w:rPr>
        <w:t>结合现有证券业帮扶实现的成果，深入结对帮扶云南省红河州绿春县调研，有针对性的提出了绿春县振兴发展的现存问题。同时，安信证券旨在通过本次课题调研活动，</w:t>
      </w:r>
      <w:r w:rsidR="005A694C" w:rsidRPr="004314C4">
        <w:rPr>
          <w:rFonts w:hint="eastAsia"/>
        </w:rPr>
        <w:t>为后续帮扶振兴的具体工作</w:t>
      </w:r>
      <w:r w:rsidR="008C6AEE" w:rsidRPr="004314C4">
        <w:rPr>
          <w:rFonts w:hint="eastAsia"/>
        </w:rPr>
        <w:t>找准方向，做到精准帮扶，</w:t>
      </w:r>
      <w:r w:rsidR="00125C7D" w:rsidRPr="004314C4">
        <w:rPr>
          <w:rFonts w:hint="eastAsia"/>
        </w:rPr>
        <w:t>助力实现绿春县</w:t>
      </w:r>
      <w:r w:rsidR="00D73143">
        <w:rPr>
          <w:rFonts w:hint="eastAsia"/>
        </w:rPr>
        <w:t>全方位</w:t>
      </w:r>
      <w:r w:rsidR="00125C7D" w:rsidRPr="004314C4">
        <w:rPr>
          <w:rFonts w:hint="eastAsia"/>
        </w:rPr>
        <w:t>振兴的</w:t>
      </w:r>
      <w:proofErr w:type="gramStart"/>
      <w:r w:rsidR="00125C7D" w:rsidRPr="004314C4">
        <w:rPr>
          <w:rFonts w:hint="eastAsia"/>
        </w:rPr>
        <w:t>伟大</w:t>
      </w:r>
      <w:r w:rsidR="00B02F30" w:rsidRPr="004314C4">
        <w:rPr>
          <w:rFonts w:hint="eastAsia"/>
        </w:rPr>
        <w:t>愿景</w:t>
      </w:r>
      <w:proofErr w:type="gramEnd"/>
      <w:r w:rsidR="00B02F30" w:rsidRPr="004314C4">
        <w:rPr>
          <w:rFonts w:hint="eastAsia"/>
        </w:rPr>
        <w:t>。</w:t>
      </w:r>
    </w:p>
    <w:p w14:paraId="40311DAA" w14:textId="374BD5A1" w:rsidR="00886744" w:rsidRDefault="00886744">
      <w:pPr>
        <w:widowControl/>
        <w:numPr>
          <w:ilvl w:val="0"/>
          <w:numId w:val="0"/>
        </w:numPr>
        <w:jc w:val="left"/>
        <w:rPr>
          <w:rFonts w:ascii="Times New Roman" w:eastAsia="宋体" w:hAnsi="Times New Roman" w:cs="Times New Roman"/>
          <w:sz w:val="24"/>
        </w:rPr>
      </w:pPr>
      <w:r>
        <w:br w:type="page"/>
      </w:r>
    </w:p>
    <w:p w14:paraId="734F5747" w14:textId="1A36B94B" w:rsidR="00886744" w:rsidRPr="004314C4" w:rsidRDefault="00886744" w:rsidP="00886744">
      <w:pPr>
        <w:pStyle w:val="001"/>
        <w:spacing w:before="156" w:after="156"/>
        <w:jc w:val="left"/>
      </w:pPr>
      <w:bookmarkStart w:id="54" w:name="_Toc112915752"/>
      <w:r>
        <w:rPr>
          <w:rFonts w:hint="eastAsia"/>
        </w:rPr>
        <w:lastRenderedPageBreak/>
        <w:t>参考文献</w:t>
      </w:r>
      <w:bookmarkEnd w:id="54"/>
    </w:p>
    <w:p w14:paraId="4BD93750" w14:textId="0A93B92E" w:rsidR="009200FA" w:rsidRDefault="003D2AA4" w:rsidP="003D2AA4">
      <w:pPr>
        <w:pStyle w:val="005"/>
        <w:numPr>
          <w:ilvl w:val="0"/>
          <w:numId w:val="2"/>
        </w:numPr>
        <w:ind w:firstLineChars="0"/>
      </w:pPr>
      <w:bookmarkStart w:id="55" w:name="_Ref112090562"/>
      <w:r w:rsidRPr="003D2AA4">
        <w:t>习近平</w:t>
      </w:r>
      <w:r w:rsidRPr="003D2AA4">
        <w:t>.</w:t>
      </w:r>
      <w:r w:rsidRPr="003D2AA4">
        <w:t>决胜全面建成小康社会</w:t>
      </w:r>
      <w:r w:rsidRPr="003D2AA4">
        <w:t xml:space="preserve"> </w:t>
      </w:r>
      <w:r w:rsidRPr="003D2AA4">
        <w:t>夺取新时代中国特色社会主义伟大胜利</w:t>
      </w:r>
      <w:r w:rsidRPr="003D2AA4">
        <w:t>——</w:t>
      </w:r>
      <w:r w:rsidRPr="003D2AA4">
        <w:t>在中国共产党第十九次全国代表大会上的报告</w:t>
      </w:r>
      <w:r w:rsidRPr="003D2AA4">
        <w:t>[J].</w:t>
      </w:r>
      <w:r w:rsidRPr="003D2AA4">
        <w:t>党建</w:t>
      </w:r>
      <w:r w:rsidRPr="003D2AA4">
        <w:t>,2017(11):15-34.</w:t>
      </w:r>
      <w:bookmarkEnd w:id="55"/>
    </w:p>
    <w:p w14:paraId="566D55D6" w14:textId="47946B44" w:rsidR="007372FA" w:rsidRDefault="007372FA" w:rsidP="003D2AA4">
      <w:pPr>
        <w:pStyle w:val="005"/>
        <w:numPr>
          <w:ilvl w:val="0"/>
          <w:numId w:val="2"/>
        </w:numPr>
        <w:ind w:firstLineChars="0"/>
      </w:pPr>
      <w:bookmarkStart w:id="56" w:name="_Ref112091085"/>
      <w:r>
        <w:rPr>
          <w:rFonts w:hint="eastAsia"/>
        </w:rPr>
        <w:t>绿春县人民政府</w:t>
      </w:r>
      <w:r w:rsidRPr="007372FA">
        <w:t>.</w:t>
      </w:r>
      <w:r>
        <w:rPr>
          <w:rFonts w:hint="eastAsia"/>
        </w:rPr>
        <w:t>绿春县情概况</w:t>
      </w:r>
      <w:r w:rsidRPr="007372FA">
        <w:t>[EB/OL].(20</w:t>
      </w:r>
      <w:r>
        <w:t>22</w:t>
      </w:r>
      <w:r w:rsidRPr="007372FA">
        <w:t>-</w:t>
      </w:r>
      <w:r>
        <w:t>07</w:t>
      </w:r>
      <w:r w:rsidRPr="007372FA">
        <w:t>-</w:t>
      </w:r>
      <w:proofErr w:type="gramStart"/>
      <w:r>
        <w:t>11</w:t>
      </w:r>
      <w:r w:rsidRPr="007372FA">
        <w:t>)[</w:t>
      </w:r>
      <w:proofErr w:type="gramEnd"/>
      <w:r w:rsidRPr="007372FA">
        <w:t>20</w:t>
      </w:r>
      <w:r>
        <w:t>22</w:t>
      </w:r>
      <w:r w:rsidRPr="007372FA">
        <w:t>-0</w:t>
      </w:r>
      <w:r>
        <w:t>8</w:t>
      </w:r>
      <w:r w:rsidRPr="007372FA">
        <w:t>-</w:t>
      </w:r>
      <w:r>
        <w:t>22</w:t>
      </w:r>
      <w:r w:rsidRPr="007372FA">
        <w:t>].</w:t>
      </w:r>
      <w:bookmarkEnd w:id="56"/>
    </w:p>
    <w:p w14:paraId="6033BE33" w14:textId="2EF0BC1D" w:rsidR="007372FA" w:rsidRDefault="00000000" w:rsidP="007372FA">
      <w:pPr>
        <w:pStyle w:val="005"/>
        <w:ind w:firstLineChars="0" w:firstLine="0"/>
      </w:pPr>
      <w:hyperlink r:id="rId12" w:history="1">
        <w:r w:rsidR="0089024B" w:rsidRPr="00915102">
          <w:rPr>
            <w:rStyle w:val="a9"/>
          </w:rPr>
          <w:t>http://www.lc.hh.gov.cn/zfxxgk_16058/fdzdgknr/lcgk_16677/202207/t20220713_593894.html</w:t>
        </w:r>
      </w:hyperlink>
    </w:p>
    <w:p w14:paraId="096F0D4F" w14:textId="54607DB9" w:rsidR="0089024B" w:rsidRPr="0089024B" w:rsidRDefault="0089024B" w:rsidP="0089024B">
      <w:pPr>
        <w:pStyle w:val="005"/>
        <w:numPr>
          <w:ilvl w:val="0"/>
          <w:numId w:val="2"/>
        </w:numPr>
        <w:ind w:firstLineChars="0"/>
      </w:pPr>
      <w:bookmarkStart w:id="57" w:name="_Ref112091316"/>
      <w:r w:rsidRPr="0089024B">
        <w:rPr>
          <w:rFonts w:hint="eastAsia"/>
        </w:rPr>
        <w:t>绿春县人民政府</w:t>
      </w:r>
      <w:r w:rsidRPr="0089024B">
        <w:t>.</w:t>
      </w:r>
      <w:r w:rsidRPr="0089024B">
        <w:rPr>
          <w:rFonts w:hint="eastAsia"/>
        </w:rPr>
        <w:t>绿春县</w:t>
      </w:r>
      <w:r w:rsidRPr="0089024B">
        <w:t>2021</w:t>
      </w:r>
      <w:r w:rsidRPr="0089024B">
        <w:t>年国民经济和社会发展统计公报</w:t>
      </w:r>
      <w:r w:rsidRPr="0089024B">
        <w:t>[EB/OL].(2022-0</w:t>
      </w:r>
      <w:r w:rsidR="009B2F25">
        <w:t>3</w:t>
      </w:r>
      <w:r w:rsidRPr="0089024B">
        <w:t>-</w:t>
      </w:r>
      <w:proofErr w:type="gramStart"/>
      <w:r w:rsidR="009B2F25">
        <w:t>30</w:t>
      </w:r>
      <w:r w:rsidRPr="0089024B">
        <w:t>)[</w:t>
      </w:r>
      <w:proofErr w:type="gramEnd"/>
      <w:r w:rsidRPr="0089024B">
        <w:t>2022-08-22].</w:t>
      </w:r>
      <w:bookmarkEnd w:id="57"/>
    </w:p>
    <w:p w14:paraId="10120132" w14:textId="1800027F" w:rsidR="007C5167" w:rsidRDefault="00000000" w:rsidP="0089024B">
      <w:pPr>
        <w:pStyle w:val="005"/>
        <w:ind w:firstLineChars="0" w:firstLine="0"/>
        <w:rPr>
          <w:rStyle w:val="a9"/>
        </w:rPr>
      </w:pPr>
      <w:hyperlink r:id="rId13" w:history="1">
        <w:r w:rsidR="007C5167" w:rsidRPr="00915102">
          <w:rPr>
            <w:rStyle w:val="a9"/>
          </w:rPr>
          <w:t>http://www.lc.hh.gov.cn/zfxxgk_16058/fdzdgknr/tjxx/202203/t20220330_578258.html</w:t>
        </w:r>
      </w:hyperlink>
    </w:p>
    <w:p w14:paraId="1681A1ED" w14:textId="06B4D61B" w:rsidR="007C5167" w:rsidRDefault="007C5167" w:rsidP="007C5167">
      <w:pPr>
        <w:pStyle w:val="005"/>
        <w:numPr>
          <w:ilvl w:val="0"/>
          <w:numId w:val="2"/>
        </w:numPr>
        <w:ind w:firstLineChars="0"/>
      </w:pPr>
      <w:bookmarkStart w:id="58" w:name="_Ref112091778"/>
      <w:r w:rsidRPr="0089024B">
        <w:rPr>
          <w:rFonts w:hint="eastAsia"/>
        </w:rPr>
        <w:t>绿春县人民政府</w:t>
      </w:r>
      <w:r w:rsidRPr="0089024B">
        <w:t>.</w:t>
      </w:r>
      <w:r>
        <w:rPr>
          <w:rFonts w:hint="eastAsia"/>
        </w:rPr>
        <w:t>绿春县工业商务和信息化局</w:t>
      </w:r>
      <w:r>
        <w:rPr>
          <w:rFonts w:hint="eastAsia"/>
        </w:rPr>
        <w:t>2</w:t>
      </w:r>
      <w:r>
        <w:t>021</w:t>
      </w:r>
      <w:r>
        <w:rPr>
          <w:rFonts w:hint="eastAsia"/>
        </w:rPr>
        <w:t>年度工作总结暨</w:t>
      </w:r>
      <w:r>
        <w:rPr>
          <w:rFonts w:hint="eastAsia"/>
        </w:rPr>
        <w:t>2</w:t>
      </w:r>
      <w:r>
        <w:t>022</w:t>
      </w:r>
      <w:r>
        <w:rPr>
          <w:rFonts w:hint="eastAsia"/>
        </w:rPr>
        <w:t>年工作计划</w:t>
      </w:r>
      <w:r w:rsidRPr="0089024B">
        <w:t xml:space="preserve"> [EB/OL].(2022-0</w:t>
      </w:r>
      <w:r>
        <w:t>2</w:t>
      </w:r>
      <w:r w:rsidRPr="0089024B">
        <w:t>-</w:t>
      </w:r>
      <w:proofErr w:type="gramStart"/>
      <w:r w:rsidRPr="0089024B">
        <w:t>1</w:t>
      </w:r>
      <w:r>
        <w:t>4</w:t>
      </w:r>
      <w:r w:rsidRPr="0089024B">
        <w:t>)[</w:t>
      </w:r>
      <w:proofErr w:type="gramEnd"/>
      <w:r w:rsidRPr="0089024B">
        <w:t>2022-08-22].</w:t>
      </w:r>
      <w:bookmarkEnd w:id="58"/>
    </w:p>
    <w:p w14:paraId="6286726B" w14:textId="04400AB7" w:rsidR="007C5167" w:rsidRPr="007C5167" w:rsidRDefault="007C5167" w:rsidP="007C5167">
      <w:pPr>
        <w:pStyle w:val="005"/>
        <w:ind w:firstLineChars="0" w:firstLine="0"/>
        <w:rPr>
          <w:rStyle w:val="a9"/>
        </w:rPr>
      </w:pPr>
      <w:r w:rsidRPr="007C5167">
        <w:rPr>
          <w:rStyle w:val="a9"/>
        </w:rPr>
        <w:t>http://www.lc.hh.gov.cn/zfxxgk_16058/fdzdgknr/zdlyxxgk/2019dzswjnv/202202/t20220214_570745.html</w:t>
      </w:r>
    </w:p>
    <w:p w14:paraId="536C75C3" w14:textId="6621BE8C" w:rsidR="007C5167" w:rsidRDefault="00647164" w:rsidP="00647164">
      <w:pPr>
        <w:pStyle w:val="005"/>
        <w:numPr>
          <w:ilvl w:val="0"/>
          <w:numId w:val="2"/>
        </w:numPr>
        <w:ind w:firstLineChars="0"/>
      </w:pPr>
      <w:bookmarkStart w:id="59" w:name="_Ref112093496"/>
      <w:r w:rsidRPr="00647164">
        <w:t>专题报告之三</w:t>
      </w:r>
      <w:r w:rsidRPr="00647164">
        <w:t>:2020</w:t>
      </w:r>
      <w:r w:rsidRPr="00647164">
        <w:t>年证券行业履行脱贫攻坚社会责任综述</w:t>
      </w:r>
      <w:r w:rsidRPr="00647164">
        <w:t>[C]//.</w:t>
      </w:r>
      <w:r w:rsidRPr="00647164">
        <w:t>中国证券业发展报告</w:t>
      </w:r>
      <w:r w:rsidRPr="00647164">
        <w:t>2021.,</w:t>
      </w:r>
      <w:proofErr w:type="gramStart"/>
      <w:r w:rsidRPr="00647164">
        <w:t>2021:208.DOI</w:t>
      </w:r>
      <w:proofErr w:type="gramEnd"/>
      <w:r w:rsidRPr="00647164">
        <w:t>:10.26914/c.cnkihy.2021.038670.</w:t>
      </w:r>
      <w:bookmarkEnd w:id="59"/>
    </w:p>
    <w:p w14:paraId="3797FCA4" w14:textId="3A1BB2C8" w:rsidR="000109D5" w:rsidRDefault="000109D5" w:rsidP="00647164">
      <w:pPr>
        <w:pStyle w:val="005"/>
        <w:numPr>
          <w:ilvl w:val="0"/>
          <w:numId w:val="2"/>
        </w:numPr>
        <w:ind w:firstLineChars="0"/>
      </w:pPr>
      <w:bookmarkStart w:id="60" w:name="_Ref112093739"/>
      <w:r w:rsidRPr="000109D5">
        <w:rPr>
          <w:rFonts w:hint="eastAsia"/>
        </w:rPr>
        <w:t>李奇霖</w:t>
      </w:r>
      <w:r w:rsidRPr="000109D5">
        <w:rPr>
          <w:rFonts w:hint="eastAsia"/>
        </w:rPr>
        <w:t>,</w:t>
      </w:r>
      <w:r w:rsidRPr="000109D5">
        <w:rPr>
          <w:rFonts w:hint="eastAsia"/>
        </w:rPr>
        <w:t>孙永乐</w:t>
      </w:r>
      <w:r w:rsidRPr="000109D5">
        <w:rPr>
          <w:rFonts w:hint="eastAsia"/>
        </w:rPr>
        <w:t>.</w:t>
      </w:r>
      <w:r w:rsidRPr="000109D5">
        <w:rPr>
          <w:rFonts w:hint="eastAsia"/>
        </w:rPr>
        <w:t>证券业服务乡村振兴研究</w:t>
      </w:r>
      <w:r w:rsidRPr="000109D5">
        <w:rPr>
          <w:rFonts w:hint="eastAsia"/>
        </w:rPr>
        <w:t>[J].</w:t>
      </w:r>
      <w:r w:rsidRPr="000109D5">
        <w:rPr>
          <w:rFonts w:hint="eastAsia"/>
        </w:rPr>
        <w:t>证券市场导报</w:t>
      </w:r>
      <w:r w:rsidRPr="000109D5">
        <w:rPr>
          <w:rFonts w:hint="eastAsia"/>
        </w:rPr>
        <w:t>,2022(01):12-20+78.</w:t>
      </w:r>
      <w:bookmarkEnd w:id="60"/>
    </w:p>
    <w:p w14:paraId="53A67860" w14:textId="20597951" w:rsidR="00054426" w:rsidRDefault="00054426" w:rsidP="00647164">
      <w:pPr>
        <w:pStyle w:val="005"/>
        <w:numPr>
          <w:ilvl w:val="0"/>
          <w:numId w:val="2"/>
        </w:numPr>
        <w:ind w:firstLineChars="0"/>
      </w:pPr>
      <w:bookmarkStart w:id="61" w:name="_Ref112093873"/>
      <w:r w:rsidRPr="00054426">
        <w:rPr>
          <w:rFonts w:hint="eastAsia"/>
        </w:rPr>
        <w:t>专题报告之三</w:t>
      </w:r>
      <w:r w:rsidRPr="00054426">
        <w:rPr>
          <w:rFonts w:hint="eastAsia"/>
        </w:rPr>
        <w:t>:2020</w:t>
      </w:r>
      <w:r w:rsidRPr="00054426">
        <w:rPr>
          <w:rFonts w:hint="eastAsia"/>
        </w:rPr>
        <w:t>年证券行业履行脱贫攻坚社会责任综述</w:t>
      </w:r>
      <w:r>
        <w:rPr>
          <w:rFonts w:hint="eastAsia"/>
        </w:rPr>
        <w:t xml:space="preserve"> </w:t>
      </w:r>
      <w:r w:rsidRPr="00054426">
        <w:rPr>
          <w:rFonts w:hint="eastAsia"/>
        </w:rPr>
        <w:t>第二章</w:t>
      </w:r>
      <w:r w:rsidRPr="00054426">
        <w:rPr>
          <w:rFonts w:hint="eastAsia"/>
        </w:rPr>
        <w:t xml:space="preserve"> </w:t>
      </w:r>
      <w:r w:rsidRPr="00054426">
        <w:rPr>
          <w:rFonts w:hint="eastAsia"/>
        </w:rPr>
        <w:t>脱贫攻坚接力乡村振兴</w:t>
      </w:r>
      <w:r w:rsidRPr="00054426">
        <w:rPr>
          <w:rFonts w:hint="eastAsia"/>
        </w:rPr>
        <w:t>,</w:t>
      </w:r>
      <w:r w:rsidRPr="00054426">
        <w:rPr>
          <w:rFonts w:hint="eastAsia"/>
        </w:rPr>
        <w:t>证券行业贡献专业力量</w:t>
      </w:r>
      <w:r w:rsidRPr="00054426">
        <w:rPr>
          <w:rFonts w:hint="eastAsia"/>
        </w:rPr>
        <w:t xml:space="preserve">. </w:t>
      </w:r>
      <w:r w:rsidRPr="00054426">
        <w:rPr>
          <w:rFonts w:hint="eastAsia"/>
        </w:rPr>
        <w:t>安青松</w:t>
      </w:r>
      <w:r w:rsidRPr="00054426">
        <w:rPr>
          <w:rFonts w:hint="eastAsia"/>
        </w:rPr>
        <w:t xml:space="preserve"> </w:t>
      </w:r>
      <w:r w:rsidRPr="00054426">
        <w:rPr>
          <w:rFonts w:hint="eastAsia"/>
        </w:rPr>
        <w:t>主编</w:t>
      </w:r>
      <w:r w:rsidRPr="00054426">
        <w:rPr>
          <w:rFonts w:hint="eastAsia"/>
        </w:rPr>
        <w:t>,</w:t>
      </w:r>
      <w:r w:rsidRPr="00054426">
        <w:rPr>
          <w:rFonts w:hint="eastAsia"/>
        </w:rPr>
        <w:t>中国证券业发展报告</w:t>
      </w:r>
      <w:r w:rsidRPr="00054426">
        <w:rPr>
          <w:rFonts w:hint="eastAsia"/>
        </w:rPr>
        <w:t>,</w:t>
      </w:r>
      <w:r w:rsidRPr="00054426">
        <w:rPr>
          <w:rFonts w:hint="eastAsia"/>
        </w:rPr>
        <w:t>中国财经出版传媒集团中国财政经济出版社</w:t>
      </w:r>
      <w:r w:rsidRPr="00054426">
        <w:rPr>
          <w:rFonts w:hint="eastAsia"/>
        </w:rPr>
        <w:t>,2021,198-201,</w:t>
      </w:r>
      <w:r w:rsidRPr="00054426">
        <w:rPr>
          <w:rFonts w:hint="eastAsia"/>
        </w:rPr>
        <w:t>年鉴</w:t>
      </w:r>
      <w:r w:rsidRPr="00054426">
        <w:rPr>
          <w:rFonts w:hint="eastAsia"/>
        </w:rPr>
        <w:t>.</w:t>
      </w:r>
      <w:proofErr w:type="gramStart"/>
      <w:r w:rsidRPr="00054426">
        <w:rPr>
          <w:rFonts w:hint="eastAsia"/>
        </w:rPr>
        <w:t>DOI:10.43317/y.cnki.yzqfz</w:t>
      </w:r>
      <w:proofErr w:type="gramEnd"/>
      <w:r w:rsidRPr="00054426">
        <w:rPr>
          <w:rFonts w:hint="eastAsia"/>
        </w:rPr>
        <w:t>.2021.000052.</w:t>
      </w:r>
      <w:bookmarkEnd w:id="61"/>
    </w:p>
    <w:p w14:paraId="61E3BB27" w14:textId="60F148AB" w:rsidR="00295E99" w:rsidRPr="00295E99" w:rsidRDefault="00295E99" w:rsidP="00295E99">
      <w:pPr>
        <w:pStyle w:val="005"/>
        <w:numPr>
          <w:ilvl w:val="0"/>
          <w:numId w:val="2"/>
        </w:numPr>
        <w:ind w:firstLineChars="0"/>
      </w:pPr>
      <w:bookmarkStart w:id="62" w:name="_Ref112094645"/>
      <w:r w:rsidRPr="00295E99">
        <w:rPr>
          <w:rFonts w:hint="eastAsia"/>
        </w:rPr>
        <w:t>中国证券报</w:t>
      </w:r>
      <w:r w:rsidRPr="00295E99">
        <w:t>.</w:t>
      </w:r>
      <w:r w:rsidRPr="00295E99">
        <w:rPr>
          <w:rFonts w:hint="eastAsia"/>
        </w:rPr>
        <w:t xml:space="preserve"> </w:t>
      </w:r>
      <w:r w:rsidRPr="00295E99">
        <w:rPr>
          <w:rFonts w:hint="eastAsia"/>
        </w:rPr>
        <w:t>接续服务乡村振兴</w:t>
      </w:r>
      <w:r w:rsidRPr="00295E99">
        <w:rPr>
          <w:rFonts w:hint="eastAsia"/>
        </w:rPr>
        <w:t xml:space="preserve"> </w:t>
      </w:r>
      <w:r w:rsidRPr="00295E99">
        <w:rPr>
          <w:rFonts w:hint="eastAsia"/>
        </w:rPr>
        <w:t>积极投身公益事业</w:t>
      </w:r>
      <w:r w:rsidRPr="00295E99">
        <w:rPr>
          <w:rFonts w:hint="eastAsia"/>
        </w:rPr>
        <w:t xml:space="preserve"> </w:t>
      </w:r>
      <w:r w:rsidRPr="00295E99">
        <w:rPr>
          <w:rFonts w:hint="eastAsia"/>
        </w:rPr>
        <w:t>证券业志愿支教服务在行动</w:t>
      </w:r>
      <w:r w:rsidRPr="00295E99">
        <w:t>[EB/OL].(2022-0</w:t>
      </w:r>
      <w:r w:rsidR="00480B21">
        <w:t>8</w:t>
      </w:r>
      <w:r w:rsidRPr="00295E99">
        <w:t>-</w:t>
      </w:r>
      <w:proofErr w:type="gramStart"/>
      <w:r w:rsidRPr="00295E99">
        <w:t>1</w:t>
      </w:r>
      <w:r w:rsidR="00480B21">
        <w:t>6</w:t>
      </w:r>
      <w:r w:rsidRPr="00295E99">
        <w:t>)[</w:t>
      </w:r>
      <w:proofErr w:type="gramEnd"/>
      <w:r w:rsidRPr="00295E99">
        <w:t>2022-08-22].</w:t>
      </w:r>
      <w:bookmarkEnd w:id="62"/>
    </w:p>
    <w:p w14:paraId="238FD498" w14:textId="332A2824" w:rsidR="00295E99" w:rsidRDefault="00000000" w:rsidP="00B016DD">
      <w:pPr>
        <w:pStyle w:val="005"/>
        <w:ind w:firstLineChars="0" w:firstLine="0"/>
        <w:rPr>
          <w:rStyle w:val="a9"/>
        </w:rPr>
      </w:pPr>
      <w:hyperlink r:id="rId14" w:history="1">
        <w:r w:rsidR="00C2552C" w:rsidRPr="004739F5">
          <w:rPr>
            <w:rStyle w:val="a9"/>
          </w:rPr>
          <w:t>https://www.cs.com.cn/qs/202208/t20220816_6291094.html</w:t>
        </w:r>
      </w:hyperlink>
    </w:p>
    <w:p w14:paraId="10536DD6" w14:textId="5D2201F1" w:rsidR="00C2552C" w:rsidRPr="00295E99" w:rsidRDefault="00C2552C" w:rsidP="00C2552C">
      <w:pPr>
        <w:pStyle w:val="005"/>
        <w:numPr>
          <w:ilvl w:val="0"/>
          <w:numId w:val="2"/>
        </w:numPr>
        <w:ind w:firstLineChars="0"/>
      </w:pPr>
      <w:bookmarkStart w:id="63" w:name="_Ref112151565"/>
      <w:r>
        <w:rPr>
          <w:rFonts w:hint="eastAsia"/>
        </w:rPr>
        <w:t>新华网</w:t>
      </w:r>
      <w:r w:rsidRPr="00295E99">
        <w:t>.</w:t>
      </w:r>
      <w:r w:rsidRPr="00295E99">
        <w:rPr>
          <w:rFonts w:hint="eastAsia"/>
        </w:rPr>
        <w:t xml:space="preserve"> </w:t>
      </w:r>
      <w:r>
        <w:rPr>
          <w:rFonts w:hint="eastAsia"/>
        </w:rPr>
        <w:t>安信证券：发挥专业优势</w:t>
      </w:r>
      <w:r>
        <w:rPr>
          <w:rFonts w:hint="eastAsia"/>
        </w:rPr>
        <w:t xml:space="preserve"> </w:t>
      </w:r>
      <w:r>
        <w:rPr>
          <w:rFonts w:hint="eastAsia"/>
        </w:rPr>
        <w:t>助力罗甸县退出贫困县序列</w:t>
      </w:r>
      <w:r w:rsidRPr="00295E99">
        <w:t>[EB/OL].(20</w:t>
      </w:r>
      <w:r>
        <w:t>20</w:t>
      </w:r>
      <w:r w:rsidRPr="00295E99">
        <w:t>-</w:t>
      </w:r>
      <w:r>
        <w:t>11</w:t>
      </w:r>
      <w:r w:rsidRPr="00295E99">
        <w:t>-</w:t>
      </w:r>
      <w:proofErr w:type="gramStart"/>
      <w:r>
        <w:t>03</w:t>
      </w:r>
      <w:r w:rsidRPr="00295E99">
        <w:t>)[</w:t>
      </w:r>
      <w:proofErr w:type="gramEnd"/>
      <w:r w:rsidRPr="00295E99">
        <w:t>2022-08-2</w:t>
      </w:r>
      <w:r>
        <w:t>3</w:t>
      </w:r>
      <w:r w:rsidRPr="00295E99">
        <w:t>].</w:t>
      </w:r>
      <w:bookmarkEnd w:id="63"/>
    </w:p>
    <w:p w14:paraId="60480740" w14:textId="640FE006" w:rsidR="00C2552C" w:rsidRPr="00C2552C" w:rsidRDefault="00C2552C" w:rsidP="00B016DD">
      <w:pPr>
        <w:pStyle w:val="005"/>
        <w:ind w:firstLineChars="0" w:firstLine="0"/>
        <w:rPr>
          <w:rStyle w:val="a9"/>
        </w:rPr>
      </w:pPr>
      <w:r w:rsidRPr="00C2552C">
        <w:rPr>
          <w:rStyle w:val="a9"/>
        </w:rPr>
        <w:t>http://www.xinhuanet.com/fortune/2020-11/03/c_1126690174.htm</w:t>
      </w:r>
    </w:p>
    <w:sectPr w:rsidR="00C2552C" w:rsidRPr="00C2552C" w:rsidSect="00A252C8">
      <w:footerReference w:type="default" r:id="rId15"/>
      <w:footnotePr>
        <w:numRestart w:val="eachPage"/>
      </w:footnotePr>
      <w:pgSz w:w="11906" w:h="16838"/>
      <w:pgMar w:top="1418" w:right="1134" w:bottom="1418" w:left="1134" w:header="851" w:footer="73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D197F" w14:textId="77777777" w:rsidR="00F574E1" w:rsidRDefault="00F574E1" w:rsidP="00174C94">
      <w:r>
        <w:separator/>
      </w:r>
    </w:p>
  </w:endnote>
  <w:endnote w:type="continuationSeparator" w:id="0">
    <w:p w14:paraId="4EFE539C" w14:textId="77777777" w:rsidR="00F574E1" w:rsidRDefault="00F574E1" w:rsidP="00174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77093" w14:textId="2BA04DDB" w:rsidR="00271056" w:rsidRPr="00FF5359" w:rsidRDefault="00271056" w:rsidP="00FF5359">
    <w:pPr>
      <w:pStyle w:val="a6"/>
      <w:numPr>
        <w:ilvl w:val="0"/>
        <w:numId w:val="0"/>
      </w:num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293372"/>
      <w:docPartObj>
        <w:docPartGallery w:val="Page Numbers (Bottom of Page)"/>
        <w:docPartUnique/>
      </w:docPartObj>
    </w:sdtPr>
    <w:sdtEndPr>
      <w:rPr>
        <w:rFonts w:ascii="Times New Roman" w:eastAsia="宋体" w:hAnsi="Times New Roman"/>
        <w:sz w:val="21"/>
        <w:szCs w:val="21"/>
      </w:rPr>
    </w:sdtEndPr>
    <w:sdtContent>
      <w:p w14:paraId="5D9B18CC" w14:textId="26FDB297" w:rsidR="00A252C8" w:rsidRPr="007D1AD2" w:rsidRDefault="00A252C8" w:rsidP="00A252C8">
        <w:pPr>
          <w:pStyle w:val="a6"/>
          <w:numPr>
            <w:ilvl w:val="0"/>
            <w:numId w:val="0"/>
          </w:numPr>
          <w:ind w:left="120"/>
          <w:jc w:val="center"/>
          <w:rPr>
            <w:rFonts w:ascii="Times New Roman" w:eastAsia="宋体" w:hAnsi="Times New Roman"/>
            <w:sz w:val="21"/>
            <w:szCs w:val="21"/>
          </w:rPr>
        </w:pPr>
        <w:r w:rsidRPr="007D1AD2">
          <w:rPr>
            <w:rFonts w:ascii="Times New Roman" w:eastAsia="宋体" w:hAnsi="Times New Roman"/>
            <w:sz w:val="21"/>
            <w:szCs w:val="21"/>
          </w:rPr>
          <w:fldChar w:fldCharType="begin"/>
        </w:r>
        <w:r w:rsidRPr="007D1AD2">
          <w:rPr>
            <w:rFonts w:ascii="Times New Roman" w:eastAsia="宋体" w:hAnsi="Times New Roman"/>
            <w:sz w:val="21"/>
            <w:szCs w:val="21"/>
          </w:rPr>
          <w:instrText>PAGE   \* MERGEFORMAT</w:instrText>
        </w:r>
        <w:r w:rsidRPr="007D1AD2">
          <w:rPr>
            <w:rFonts w:ascii="Times New Roman" w:eastAsia="宋体" w:hAnsi="Times New Roman"/>
            <w:sz w:val="21"/>
            <w:szCs w:val="21"/>
          </w:rPr>
          <w:fldChar w:fldCharType="separate"/>
        </w:r>
        <w:r w:rsidRPr="007D1AD2">
          <w:rPr>
            <w:rFonts w:ascii="Times New Roman" w:eastAsia="宋体" w:hAnsi="Times New Roman"/>
            <w:sz w:val="21"/>
            <w:szCs w:val="21"/>
            <w:lang w:val="zh-CN"/>
          </w:rPr>
          <w:t>2</w:t>
        </w:r>
        <w:r w:rsidRPr="007D1AD2">
          <w:rPr>
            <w:rFonts w:ascii="Times New Roman" w:eastAsia="宋体" w:hAnsi="Times New Roman"/>
            <w:sz w:val="21"/>
            <w:szCs w:val="21"/>
          </w:rPr>
          <w:fldChar w:fldCharType="end"/>
        </w:r>
      </w:p>
    </w:sdtContent>
  </w:sdt>
  <w:p w14:paraId="60DDF84E" w14:textId="77777777" w:rsidR="00A252C8" w:rsidRPr="00271056" w:rsidRDefault="00A252C8" w:rsidP="0033629E">
    <w:pPr>
      <w:pStyle w:val="a6"/>
      <w:numPr>
        <w:ilvl w:val="0"/>
        <w:numId w:val="0"/>
      </w:numPr>
      <w:jc w:val="center"/>
      <w:rPr>
        <w:rFonts w:ascii="Times New Roman" w:eastAsia="宋体" w:hAnsi="Times New Roman"/>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50209" w14:textId="77777777" w:rsidR="00F574E1" w:rsidRDefault="00F574E1" w:rsidP="00F354FB">
      <w:pPr>
        <w:numPr>
          <w:ilvl w:val="0"/>
          <w:numId w:val="0"/>
        </w:numPr>
      </w:pPr>
      <w:r>
        <w:separator/>
      </w:r>
    </w:p>
  </w:footnote>
  <w:footnote w:type="continuationSeparator" w:id="0">
    <w:p w14:paraId="39005F2C" w14:textId="77777777" w:rsidR="00F574E1" w:rsidRDefault="00F574E1" w:rsidP="00174C94">
      <w:r>
        <w:continuationSeparator/>
      </w:r>
    </w:p>
  </w:footnote>
  <w:footnote w:id="1">
    <w:p w14:paraId="7F3B2CBC" w14:textId="332B8D3D" w:rsidR="000004FB" w:rsidRPr="00B93017" w:rsidRDefault="000004FB" w:rsidP="00B93017">
      <w:pPr>
        <w:numPr>
          <w:ilvl w:val="0"/>
          <w:numId w:val="0"/>
        </w:numPr>
        <w:jc w:val="left"/>
        <w:rPr>
          <w:rFonts w:ascii="Times New Roman" w:eastAsia="宋体" w:hAnsi="Times New Roman"/>
          <w:sz w:val="18"/>
          <w:szCs w:val="18"/>
        </w:rPr>
      </w:pPr>
      <w:r w:rsidRPr="00C44FCF">
        <w:rPr>
          <w:rStyle w:val="af4"/>
          <w:rFonts w:ascii="Times New Roman" w:eastAsia="宋体" w:hAnsi="Times New Roman"/>
          <w:sz w:val="20"/>
          <w:szCs w:val="20"/>
        </w:rPr>
        <w:footnoteRef/>
      </w:r>
      <w:r w:rsidRPr="00177832">
        <w:rPr>
          <w:rStyle w:val="af4"/>
          <w:rFonts w:ascii="Times New Roman" w:eastAsia="宋体" w:hAnsi="Times New Roman"/>
          <w:sz w:val="20"/>
          <w:szCs w:val="20"/>
          <w:vertAlign w:val="baseline"/>
        </w:rPr>
        <w:t xml:space="preserve"> </w:t>
      </w:r>
      <w:r w:rsidRPr="00B93017">
        <w:rPr>
          <w:rFonts w:ascii="Times New Roman" w:eastAsia="宋体" w:hAnsi="Times New Roman"/>
          <w:sz w:val="18"/>
        </w:rPr>
        <w:t>习近平</w:t>
      </w:r>
      <w:r w:rsidR="00C37C83">
        <w:rPr>
          <w:rFonts w:ascii="Times New Roman" w:eastAsia="宋体" w:hAnsi="Times New Roman" w:hint="eastAsia"/>
          <w:sz w:val="18"/>
        </w:rPr>
        <w:t>：</w:t>
      </w:r>
      <w:r w:rsidRPr="00B93017">
        <w:rPr>
          <w:rFonts w:ascii="Times New Roman" w:eastAsia="宋体" w:hAnsi="Times New Roman"/>
          <w:sz w:val="18"/>
        </w:rPr>
        <w:t>决胜全面建成小康社会</w:t>
      </w:r>
      <w:r w:rsidRPr="00B93017">
        <w:rPr>
          <w:rFonts w:ascii="Times New Roman" w:eastAsia="宋体" w:hAnsi="Times New Roman"/>
          <w:sz w:val="18"/>
        </w:rPr>
        <w:t xml:space="preserve"> </w:t>
      </w:r>
      <w:r w:rsidRPr="00B93017">
        <w:rPr>
          <w:rFonts w:ascii="Times New Roman" w:eastAsia="宋体" w:hAnsi="Times New Roman"/>
          <w:sz w:val="18"/>
        </w:rPr>
        <w:t>夺取新时代中国特色社会主义伟大胜利</w:t>
      </w:r>
      <w:r w:rsidRPr="00B93017">
        <w:rPr>
          <w:rFonts w:ascii="Times New Roman" w:eastAsia="宋体" w:hAnsi="Times New Roman"/>
          <w:sz w:val="18"/>
        </w:rPr>
        <w:t>——</w:t>
      </w:r>
      <w:r w:rsidRPr="00B93017">
        <w:rPr>
          <w:rFonts w:ascii="Times New Roman" w:eastAsia="宋体" w:hAnsi="Times New Roman"/>
          <w:sz w:val="18"/>
        </w:rPr>
        <w:t>在中国共产党第十九次全国代表大会上的报告</w:t>
      </w:r>
    </w:p>
  </w:footnote>
  <w:footnote w:id="2">
    <w:p w14:paraId="7EFB06CD" w14:textId="142B12DE" w:rsidR="00F354FB" w:rsidRPr="000004FB" w:rsidRDefault="00F354FB" w:rsidP="007A6FCC">
      <w:pPr>
        <w:numPr>
          <w:ilvl w:val="0"/>
          <w:numId w:val="0"/>
        </w:numPr>
        <w:jc w:val="left"/>
        <w:rPr>
          <w:rFonts w:ascii="Times New Roman" w:eastAsia="宋体" w:hAnsi="Times New Roman"/>
          <w:sz w:val="18"/>
          <w:szCs w:val="18"/>
        </w:rPr>
      </w:pPr>
      <w:r w:rsidRPr="00C44FCF">
        <w:rPr>
          <w:rStyle w:val="af4"/>
          <w:rFonts w:ascii="Times New Roman" w:eastAsia="宋体" w:hAnsi="Times New Roman"/>
          <w:sz w:val="20"/>
          <w:szCs w:val="20"/>
        </w:rPr>
        <w:footnoteRef/>
      </w:r>
      <w:r w:rsidRPr="00177832">
        <w:rPr>
          <w:rStyle w:val="af4"/>
          <w:sz w:val="20"/>
          <w:szCs w:val="20"/>
          <w:vertAlign w:val="baseline"/>
        </w:rPr>
        <w:t xml:space="preserve"> </w:t>
      </w:r>
      <w:r w:rsidR="00687DEC" w:rsidRPr="00687DEC">
        <w:rPr>
          <w:rFonts w:ascii="Times New Roman" w:eastAsia="宋体" w:hAnsi="Times New Roman" w:hint="eastAsia"/>
          <w:sz w:val="18"/>
          <w:szCs w:val="18"/>
        </w:rPr>
        <w:t>报告</w:t>
      </w:r>
      <w:r w:rsidRPr="000004FB">
        <w:rPr>
          <w:rFonts w:ascii="Times New Roman" w:eastAsia="宋体" w:hAnsi="Times New Roman" w:hint="eastAsia"/>
          <w:sz w:val="18"/>
          <w:szCs w:val="18"/>
        </w:rPr>
        <w:t>作者</w:t>
      </w:r>
      <w:r w:rsidR="00F975F3">
        <w:rPr>
          <w:rFonts w:ascii="Times New Roman" w:eastAsia="宋体" w:hAnsi="Times New Roman" w:hint="eastAsia"/>
          <w:sz w:val="18"/>
          <w:szCs w:val="18"/>
        </w:rPr>
        <w:t>简介</w:t>
      </w:r>
      <w:r w:rsidRPr="000004FB">
        <w:rPr>
          <w:rFonts w:ascii="Times New Roman" w:eastAsia="宋体" w:hAnsi="Times New Roman" w:hint="eastAsia"/>
          <w:sz w:val="18"/>
          <w:szCs w:val="18"/>
        </w:rPr>
        <w:t>：</w:t>
      </w:r>
      <w:r w:rsidR="007A6FCC">
        <w:rPr>
          <w:rFonts w:ascii="Times New Roman" w:eastAsia="宋体" w:hAnsi="Times New Roman" w:hint="eastAsia"/>
          <w:sz w:val="18"/>
          <w:szCs w:val="18"/>
        </w:rPr>
        <w:t>徐荣健</w:t>
      </w:r>
      <w:r w:rsidR="007A6FCC">
        <w:rPr>
          <w:rFonts w:ascii="Times New Roman" w:eastAsia="宋体" w:hAnsi="Times New Roman" w:hint="eastAsia"/>
          <w:sz w:val="18"/>
          <w:szCs w:val="18"/>
        </w:rPr>
        <w:t>-</w:t>
      </w:r>
      <w:r w:rsidR="007A6FCC" w:rsidRPr="007A6FCC">
        <w:rPr>
          <w:rFonts w:ascii="Times New Roman" w:eastAsia="宋体" w:hAnsi="Times New Roman" w:hint="eastAsia"/>
          <w:sz w:val="18"/>
          <w:szCs w:val="18"/>
        </w:rPr>
        <w:t>安信证券国际业务部负责人</w:t>
      </w:r>
      <w:r w:rsidR="007A6FCC">
        <w:rPr>
          <w:rFonts w:ascii="Times New Roman" w:eastAsia="宋体" w:hAnsi="Times New Roman" w:hint="eastAsia"/>
          <w:sz w:val="18"/>
          <w:szCs w:val="18"/>
        </w:rPr>
        <w:t>、</w:t>
      </w:r>
      <w:r w:rsidR="007A6FCC" w:rsidRPr="007A6FCC">
        <w:rPr>
          <w:rFonts w:ascii="Times New Roman" w:eastAsia="宋体" w:hAnsi="Times New Roman" w:hint="eastAsia"/>
          <w:sz w:val="18"/>
          <w:szCs w:val="18"/>
        </w:rPr>
        <w:t>邬海波</w:t>
      </w:r>
      <w:r w:rsidR="007A6FCC">
        <w:rPr>
          <w:rFonts w:ascii="Times New Roman" w:eastAsia="宋体" w:hAnsi="Times New Roman" w:hint="eastAsia"/>
          <w:sz w:val="18"/>
          <w:szCs w:val="18"/>
        </w:rPr>
        <w:t>-</w:t>
      </w:r>
      <w:r w:rsidR="007A6FCC" w:rsidRPr="007A6FCC">
        <w:rPr>
          <w:rFonts w:ascii="Times New Roman" w:eastAsia="宋体" w:hAnsi="Times New Roman" w:hint="eastAsia"/>
          <w:sz w:val="18"/>
          <w:szCs w:val="18"/>
        </w:rPr>
        <w:t>安信证券</w:t>
      </w:r>
      <w:r w:rsidR="00512A79">
        <w:rPr>
          <w:rFonts w:ascii="Times New Roman" w:eastAsia="宋体" w:hAnsi="Times New Roman" w:hint="eastAsia"/>
          <w:sz w:val="18"/>
          <w:szCs w:val="18"/>
        </w:rPr>
        <w:t>国际业务部</w:t>
      </w:r>
      <w:r w:rsidR="007A6FCC" w:rsidRPr="007A6FCC">
        <w:rPr>
          <w:rFonts w:ascii="Times New Roman" w:eastAsia="宋体" w:hAnsi="Times New Roman" w:hint="eastAsia"/>
          <w:sz w:val="18"/>
          <w:szCs w:val="18"/>
        </w:rPr>
        <w:t>执行总经理</w:t>
      </w:r>
      <w:r w:rsidR="007A6FCC">
        <w:rPr>
          <w:rFonts w:ascii="Times New Roman" w:eastAsia="宋体" w:hAnsi="Times New Roman" w:hint="eastAsia"/>
          <w:sz w:val="18"/>
          <w:szCs w:val="18"/>
        </w:rPr>
        <w:t>、黄璇</w:t>
      </w:r>
      <w:r w:rsidR="007A6FCC">
        <w:rPr>
          <w:rFonts w:ascii="Times New Roman" w:eastAsia="宋体" w:hAnsi="Times New Roman" w:hint="eastAsia"/>
          <w:sz w:val="18"/>
          <w:szCs w:val="18"/>
        </w:rPr>
        <w:t>-</w:t>
      </w:r>
      <w:r w:rsidR="007A6FCC" w:rsidRPr="007A6FCC">
        <w:rPr>
          <w:rFonts w:ascii="Times New Roman" w:eastAsia="宋体" w:hAnsi="Times New Roman" w:hint="eastAsia"/>
          <w:sz w:val="18"/>
          <w:szCs w:val="18"/>
        </w:rPr>
        <w:t>安信证券</w:t>
      </w:r>
      <w:r w:rsidR="00512A79">
        <w:rPr>
          <w:rFonts w:ascii="Times New Roman" w:eastAsia="宋体" w:hAnsi="Times New Roman" w:hint="eastAsia"/>
          <w:sz w:val="18"/>
          <w:szCs w:val="18"/>
        </w:rPr>
        <w:t>国际业务部</w:t>
      </w:r>
      <w:r w:rsidR="007A6FCC" w:rsidRPr="007A6FCC">
        <w:rPr>
          <w:rFonts w:ascii="Times New Roman" w:eastAsia="宋体" w:hAnsi="Times New Roman" w:hint="eastAsia"/>
          <w:sz w:val="18"/>
          <w:szCs w:val="18"/>
        </w:rPr>
        <w:t>业务总监</w:t>
      </w:r>
      <w:r w:rsidR="007A6FCC">
        <w:rPr>
          <w:rFonts w:ascii="Times New Roman" w:eastAsia="宋体" w:hAnsi="Times New Roman" w:hint="eastAsia"/>
          <w:sz w:val="18"/>
          <w:szCs w:val="18"/>
        </w:rPr>
        <w:t>、王栋梁</w:t>
      </w:r>
      <w:r w:rsidR="007A6FCC">
        <w:rPr>
          <w:rFonts w:ascii="Times New Roman" w:eastAsia="宋体" w:hAnsi="Times New Roman"/>
          <w:sz w:val="18"/>
          <w:szCs w:val="18"/>
        </w:rPr>
        <w:t>-</w:t>
      </w:r>
      <w:r w:rsidR="007A6FCC" w:rsidRPr="007A6FCC">
        <w:rPr>
          <w:rFonts w:ascii="Times New Roman" w:eastAsia="宋体" w:hAnsi="Times New Roman" w:hint="eastAsia"/>
          <w:sz w:val="18"/>
          <w:szCs w:val="18"/>
        </w:rPr>
        <w:t>安信证券</w:t>
      </w:r>
      <w:r w:rsidR="00512A79">
        <w:rPr>
          <w:rFonts w:ascii="Times New Roman" w:eastAsia="宋体" w:hAnsi="Times New Roman" w:hint="eastAsia"/>
          <w:sz w:val="18"/>
          <w:szCs w:val="18"/>
        </w:rPr>
        <w:t>国际业务部</w:t>
      </w:r>
      <w:r w:rsidR="007A6FCC">
        <w:rPr>
          <w:rFonts w:ascii="Times New Roman" w:eastAsia="宋体" w:hAnsi="Times New Roman" w:hint="eastAsia"/>
          <w:sz w:val="18"/>
          <w:szCs w:val="18"/>
        </w:rPr>
        <w:t>实习生</w:t>
      </w:r>
    </w:p>
  </w:footnote>
  <w:footnote w:id="3">
    <w:p w14:paraId="0E3D30F8" w14:textId="39B32A16" w:rsidR="00B93017" w:rsidRDefault="00B93017" w:rsidP="00B93017">
      <w:pPr>
        <w:numPr>
          <w:ilvl w:val="0"/>
          <w:numId w:val="0"/>
        </w:numPr>
        <w:jc w:val="left"/>
      </w:pPr>
      <w:r w:rsidRPr="00C44FCF">
        <w:rPr>
          <w:rStyle w:val="af4"/>
          <w:rFonts w:ascii="Times New Roman" w:eastAsia="宋体" w:hAnsi="Times New Roman"/>
          <w:sz w:val="20"/>
          <w:szCs w:val="20"/>
        </w:rPr>
        <w:footnoteRef/>
      </w:r>
      <w:r w:rsidR="00C44FCF" w:rsidRPr="00177832">
        <w:rPr>
          <w:rStyle w:val="af4"/>
          <w:rFonts w:ascii="Times New Roman" w:eastAsia="宋体" w:hAnsi="Times New Roman"/>
          <w:sz w:val="20"/>
          <w:szCs w:val="20"/>
          <w:vertAlign w:val="baseline"/>
        </w:rPr>
        <w:t xml:space="preserve"> </w:t>
      </w:r>
      <w:r w:rsidR="00C44FCF" w:rsidRPr="00C44FCF">
        <w:rPr>
          <w:rFonts w:ascii="Times New Roman" w:eastAsia="宋体" w:hAnsi="Times New Roman"/>
          <w:sz w:val="18"/>
          <w:szCs w:val="18"/>
        </w:rPr>
        <w:t>绿春县人民政府</w:t>
      </w:r>
      <w:r w:rsidR="00C37C83">
        <w:rPr>
          <w:rFonts w:ascii="Times New Roman" w:eastAsia="宋体" w:hAnsi="Times New Roman" w:hint="eastAsia"/>
          <w:sz w:val="18"/>
          <w:szCs w:val="18"/>
        </w:rPr>
        <w:t>：</w:t>
      </w:r>
      <w:r w:rsidR="00C44FCF" w:rsidRPr="00C44FCF">
        <w:rPr>
          <w:rFonts w:ascii="Times New Roman" w:eastAsia="宋体" w:hAnsi="Times New Roman"/>
          <w:sz w:val="18"/>
          <w:szCs w:val="18"/>
        </w:rPr>
        <w:t>绿春县情概况</w:t>
      </w:r>
    </w:p>
  </w:footnote>
  <w:footnote w:id="4">
    <w:p w14:paraId="7C87BD13" w14:textId="3D3C3ED0" w:rsidR="00E30836" w:rsidRDefault="00E30836" w:rsidP="00E30836">
      <w:pPr>
        <w:pStyle w:val="af2"/>
        <w:numPr>
          <w:ilvl w:val="0"/>
          <w:numId w:val="0"/>
        </w:numPr>
      </w:pPr>
      <w:r w:rsidRPr="00E30836">
        <w:rPr>
          <w:rStyle w:val="af4"/>
          <w:rFonts w:ascii="Times New Roman" w:eastAsia="宋体" w:hAnsi="Times New Roman"/>
          <w:sz w:val="20"/>
          <w:szCs w:val="20"/>
        </w:rPr>
        <w:footnoteRef/>
      </w:r>
      <w:r w:rsidRPr="00177832">
        <w:rPr>
          <w:rStyle w:val="af4"/>
          <w:rFonts w:ascii="Times New Roman" w:eastAsia="宋体" w:hAnsi="Times New Roman"/>
          <w:sz w:val="20"/>
          <w:szCs w:val="20"/>
          <w:vertAlign w:val="baseline"/>
        </w:rPr>
        <w:t xml:space="preserve"> </w:t>
      </w:r>
      <w:r w:rsidRPr="00E30836">
        <w:rPr>
          <w:rFonts w:ascii="Times New Roman" w:eastAsia="宋体" w:hAnsi="Times New Roman" w:hint="eastAsia"/>
        </w:rPr>
        <w:t>绿春县人民政府</w:t>
      </w:r>
      <w:r w:rsidR="00C37C83">
        <w:rPr>
          <w:rFonts w:ascii="Times New Roman" w:eastAsia="宋体" w:hAnsi="Times New Roman" w:hint="eastAsia"/>
        </w:rPr>
        <w:t>：</w:t>
      </w:r>
      <w:r w:rsidRPr="00E30836">
        <w:rPr>
          <w:rFonts w:ascii="Times New Roman" w:eastAsia="宋体" w:hAnsi="Times New Roman" w:hint="eastAsia"/>
        </w:rPr>
        <w:t>绿春县</w:t>
      </w:r>
      <w:r w:rsidRPr="00E30836">
        <w:rPr>
          <w:rFonts w:ascii="Times New Roman" w:eastAsia="宋体" w:hAnsi="Times New Roman"/>
        </w:rPr>
        <w:t>2021</w:t>
      </w:r>
      <w:r w:rsidRPr="00E30836">
        <w:rPr>
          <w:rFonts w:ascii="Times New Roman" w:eastAsia="宋体" w:hAnsi="Times New Roman"/>
        </w:rPr>
        <w:t>年国民经济和社会发展统计公报</w:t>
      </w:r>
    </w:p>
  </w:footnote>
  <w:footnote w:id="5">
    <w:p w14:paraId="5576CEE5" w14:textId="524F8713" w:rsidR="00BE64E4" w:rsidRDefault="00BE64E4" w:rsidP="00BE64E4">
      <w:pPr>
        <w:pStyle w:val="af2"/>
        <w:numPr>
          <w:ilvl w:val="0"/>
          <w:numId w:val="0"/>
        </w:numPr>
      </w:pPr>
      <w:r w:rsidRPr="00BE64E4">
        <w:rPr>
          <w:rStyle w:val="af4"/>
          <w:rFonts w:ascii="Times New Roman" w:eastAsia="宋体" w:hAnsi="Times New Roman"/>
          <w:sz w:val="20"/>
          <w:szCs w:val="20"/>
        </w:rPr>
        <w:footnoteRef/>
      </w:r>
      <w:r w:rsidRPr="00177832">
        <w:rPr>
          <w:rStyle w:val="af4"/>
          <w:rFonts w:ascii="Times New Roman" w:eastAsia="宋体" w:hAnsi="Times New Roman"/>
          <w:sz w:val="20"/>
          <w:szCs w:val="20"/>
          <w:vertAlign w:val="baseline"/>
        </w:rPr>
        <w:t xml:space="preserve"> </w:t>
      </w:r>
      <w:r w:rsidRPr="00BE64E4">
        <w:rPr>
          <w:rFonts w:ascii="Times New Roman" w:eastAsia="宋体" w:hAnsi="Times New Roman" w:hint="eastAsia"/>
        </w:rPr>
        <w:t>绿春县人民政府</w:t>
      </w:r>
      <w:r w:rsidR="00C37C83">
        <w:rPr>
          <w:rFonts w:ascii="Times New Roman" w:eastAsia="宋体" w:hAnsi="Times New Roman" w:hint="eastAsia"/>
        </w:rPr>
        <w:t>：</w:t>
      </w:r>
      <w:r w:rsidRPr="00BE64E4">
        <w:rPr>
          <w:rFonts w:ascii="Times New Roman" w:eastAsia="宋体" w:hAnsi="Times New Roman" w:hint="eastAsia"/>
        </w:rPr>
        <w:t>绿春县</w:t>
      </w:r>
      <w:r w:rsidRPr="00BE64E4">
        <w:rPr>
          <w:rFonts w:ascii="Times New Roman" w:eastAsia="宋体" w:hAnsi="Times New Roman"/>
        </w:rPr>
        <w:t>2021</w:t>
      </w:r>
      <w:r w:rsidRPr="00BE64E4">
        <w:rPr>
          <w:rFonts w:ascii="Times New Roman" w:eastAsia="宋体" w:hAnsi="Times New Roman"/>
        </w:rPr>
        <w:t>年国民经济和社会发展统计公报</w:t>
      </w:r>
    </w:p>
  </w:footnote>
  <w:footnote w:id="6">
    <w:p w14:paraId="237524F8" w14:textId="532E81A9" w:rsidR="00FA205D" w:rsidRDefault="00FA205D" w:rsidP="00FA205D">
      <w:pPr>
        <w:pStyle w:val="af2"/>
        <w:numPr>
          <w:ilvl w:val="0"/>
          <w:numId w:val="0"/>
        </w:numPr>
      </w:pPr>
      <w:r w:rsidRPr="00FA205D">
        <w:rPr>
          <w:rStyle w:val="af4"/>
          <w:rFonts w:ascii="Times New Roman" w:eastAsia="宋体" w:hAnsi="Times New Roman"/>
          <w:sz w:val="20"/>
          <w:szCs w:val="20"/>
        </w:rPr>
        <w:footnoteRef/>
      </w:r>
      <w:r w:rsidRPr="00177832">
        <w:rPr>
          <w:rStyle w:val="af4"/>
          <w:rFonts w:ascii="Times New Roman" w:eastAsia="宋体" w:hAnsi="Times New Roman"/>
          <w:sz w:val="20"/>
          <w:szCs w:val="20"/>
          <w:vertAlign w:val="baseline"/>
        </w:rPr>
        <w:t xml:space="preserve"> </w:t>
      </w:r>
      <w:r w:rsidRPr="00FA205D">
        <w:rPr>
          <w:rFonts w:ascii="Times New Roman" w:eastAsia="宋体" w:hAnsi="Times New Roman" w:hint="eastAsia"/>
        </w:rPr>
        <w:t>绿春县人民政府</w:t>
      </w:r>
      <w:r w:rsidR="00C37C83">
        <w:rPr>
          <w:rFonts w:ascii="Times New Roman" w:eastAsia="宋体" w:hAnsi="Times New Roman" w:hint="eastAsia"/>
        </w:rPr>
        <w:t>：</w:t>
      </w:r>
      <w:r w:rsidRPr="00FA205D">
        <w:rPr>
          <w:rFonts w:ascii="Times New Roman" w:eastAsia="宋体" w:hAnsi="Times New Roman" w:hint="eastAsia"/>
        </w:rPr>
        <w:t>绿春县</w:t>
      </w:r>
      <w:r w:rsidRPr="00FA205D">
        <w:rPr>
          <w:rFonts w:ascii="Times New Roman" w:eastAsia="宋体" w:hAnsi="Times New Roman"/>
        </w:rPr>
        <w:t>2021</w:t>
      </w:r>
      <w:r w:rsidRPr="00FA205D">
        <w:rPr>
          <w:rFonts w:ascii="Times New Roman" w:eastAsia="宋体" w:hAnsi="Times New Roman"/>
        </w:rPr>
        <w:t>年国民经济和社会发展统计公报</w:t>
      </w:r>
    </w:p>
  </w:footnote>
  <w:footnote w:id="7">
    <w:p w14:paraId="25BFB85B" w14:textId="09C68A6A" w:rsidR="00DB00CF" w:rsidRDefault="00DB00CF" w:rsidP="00DB00CF">
      <w:pPr>
        <w:pStyle w:val="af2"/>
        <w:numPr>
          <w:ilvl w:val="0"/>
          <w:numId w:val="0"/>
        </w:numPr>
      </w:pPr>
      <w:r w:rsidRPr="00DB00CF">
        <w:rPr>
          <w:rStyle w:val="af4"/>
          <w:rFonts w:ascii="Times New Roman" w:eastAsia="宋体" w:hAnsi="Times New Roman"/>
          <w:sz w:val="20"/>
          <w:szCs w:val="20"/>
        </w:rPr>
        <w:footnoteRef/>
      </w:r>
      <w:r w:rsidRPr="00177832">
        <w:rPr>
          <w:rStyle w:val="af4"/>
          <w:rFonts w:ascii="Times New Roman" w:eastAsia="宋体" w:hAnsi="Times New Roman"/>
          <w:sz w:val="20"/>
          <w:szCs w:val="20"/>
          <w:vertAlign w:val="baseline"/>
        </w:rPr>
        <w:t xml:space="preserve"> </w:t>
      </w:r>
      <w:r w:rsidRPr="00DB00CF">
        <w:rPr>
          <w:rFonts w:ascii="Times New Roman" w:eastAsia="宋体" w:hAnsi="Times New Roman"/>
        </w:rPr>
        <w:t>绿春县人民政府</w:t>
      </w:r>
      <w:r w:rsidR="00C37C83">
        <w:rPr>
          <w:rFonts w:ascii="Times New Roman" w:eastAsia="宋体" w:hAnsi="Times New Roman" w:hint="eastAsia"/>
        </w:rPr>
        <w:t>：</w:t>
      </w:r>
      <w:r w:rsidRPr="00DB00CF">
        <w:rPr>
          <w:rFonts w:ascii="Times New Roman" w:eastAsia="宋体" w:hAnsi="Times New Roman"/>
        </w:rPr>
        <w:t>绿春县工业商务和信息化局</w:t>
      </w:r>
      <w:r w:rsidRPr="00DB00CF">
        <w:rPr>
          <w:rFonts w:ascii="Times New Roman" w:eastAsia="宋体" w:hAnsi="Times New Roman"/>
        </w:rPr>
        <w:t>2021</w:t>
      </w:r>
      <w:r w:rsidRPr="00DB00CF">
        <w:rPr>
          <w:rFonts w:ascii="Times New Roman" w:eastAsia="宋体" w:hAnsi="Times New Roman"/>
        </w:rPr>
        <w:t>年度工作总结暨</w:t>
      </w:r>
      <w:r w:rsidRPr="00DB00CF">
        <w:rPr>
          <w:rFonts w:ascii="Times New Roman" w:eastAsia="宋体" w:hAnsi="Times New Roman"/>
        </w:rPr>
        <w:t>2022</w:t>
      </w:r>
      <w:r w:rsidRPr="00DB00CF">
        <w:rPr>
          <w:rFonts w:ascii="Times New Roman" w:eastAsia="宋体" w:hAnsi="Times New Roman"/>
        </w:rPr>
        <w:t>年工作计划</w:t>
      </w:r>
    </w:p>
  </w:footnote>
  <w:footnote w:id="8">
    <w:p w14:paraId="6B4547F1" w14:textId="6C9BEC01" w:rsidR="001C242F" w:rsidRDefault="001C242F" w:rsidP="001C242F">
      <w:pPr>
        <w:pStyle w:val="af2"/>
        <w:numPr>
          <w:ilvl w:val="0"/>
          <w:numId w:val="0"/>
        </w:numPr>
      </w:pPr>
      <w:r w:rsidRPr="00FA205D">
        <w:rPr>
          <w:rStyle w:val="af4"/>
          <w:rFonts w:ascii="Times New Roman" w:eastAsia="宋体" w:hAnsi="Times New Roman"/>
          <w:sz w:val="20"/>
          <w:szCs w:val="20"/>
        </w:rPr>
        <w:footnoteRef/>
      </w:r>
      <w:r w:rsidRPr="00177832">
        <w:rPr>
          <w:rStyle w:val="af4"/>
          <w:rFonts w:ascii="Times New Roman" w:eastAsia="宋体" w:hAnsi="Times New Roman"/>
          <w:sz w:val="20"/>
          <w:szCs w:val="20"/>
          <w:vertAlign w:val="baseline"/>
        </w:rPr>
        <w:t xml:space="preserve"> </w:t>
      </w:r>
      <w:r w:rsidRPr="00FA205D">
        <w:rPr>
          <w:rFonts w:ascii="Times New Roman" w:eastAsia="宋体" w:hAnsi="Times New Roman" w:hint="eastAsia"/>
        </w:rPr>
        <w:t>绿春县人民政府</w:t>
      </w:r>
      <w:r w:rsidR="00C37C83">
        <w:rPr>
          <w:rFonts w:ascii="Times New Roman" w:eastAsia="宋体" w:hAnsi="Times New Roman" w:hint="eastAsia"/>
        </w:rPr>
        <w:t>：</w:t>
      </w:r>
      <w:r w:rsidRPr="00FA205D">
        <w:rPr>
          <w:rFonts w:ascii="Times New Roman" w:eastAsia="宋体" w:hAnsi="Times New Roman" w:hint="eastAsia"/>
        </w:rPr>
        <w:t>绿春县</w:t>
      </w:r>
      <w:r w:rsidRPr="00FA205D">
        <w:rPr>
          <w:rFonts w:ascii="Times New Roman" w:eastAsia="宋体" w:hAnsi="Times New Roman"/>
        </w:rPr>
        <w:t>2021</w:t>
      </w:r>
      <w:r w:rsidRPr="00FA205D">
        <w:rPr>
          <w:rFonts w:ascii="Times New Roman" w:eastAsia="宋体" w:hAnsi="Times New Roman"/>
        </w:rPr>
        <w:t>年国民经济和社会发展统计公报</w:t>
      </w:r>
    </w:p>
  </w:footnote>
  <w:footnote w:id="9">
    <w:p w14:paraId="18826374" w14:textId="59B16C5F" w:rsidR="00DE6557" w:rsidRDefault="00DE6557" w:rsidP="00DE6557">
      <w:pPr>
        <w:pStyle w:val="af2"/>
        <w:numPr>
          <w:ilvl w:val="0"/>
          <w:numId w:val="0"/>
        </w:numPr>
      </w:pPr>
      <w:r w:rsidRPr="00FA205D">
        <w:rPr>
          <w:rStyle w:val="af4"/>
          <w:rFonts w:ascii="Times New Roman" w:eastAsia="宋体" w:hAnsi="Times New Roman"/>
          <w:sz w:val="20"/>
          <w:szCs w:val="20"/>
        </w:rPr>
        <w:footnoteRef/>
      </w:r>
      <w:r w:rsidRPr="00177832">
        <w:rPr>
          <w:rStyle w:val="af4"/>
          <w:rFonts w:ascii="Times New Roman" w:eastAsia="宋体" w:hAnsi="Times New Roman"/>
          <w:sz w:val="20"/>
          <w:szCs w:val="20"/>
          <w:vertAlign w:val="baseline"/>
        </w:rPr>
        <w:t xml:space="preserve"> </w:t>
      </w:r>
      <w:r w:rsidRPr="00FA205D">
        <w:rPr>
          <w:rFonts w:ascii="Times New Roman" w:eastAsia="宋体" w:hAnsi="Times New Roman" w:hint="eastAsia"/>
        </w:rPr>
        <w:t>绿春县人民政府</w:t>
      </w:r>
      <w:r w:rsidR="00C37C83">
        <w:rPr>
          <w:rFonts w:ascii="Times New Roman" w:eastAsia="宋体" w:hAnsi="Times New Roman" w:hint="eastAsia"/>
        </w:rPr>
        <w:t>：</w:t>
      </w:r>
      <w:r w:rsidRPr="00FA205D">
        <w:rPr>
          <w:rFonts w:ascii="Times New Roman" w:eastAsia="宋体" w:hAnsi="Times New Roman" w:hint="eastAsia"/>
        </w:rPr>
        <w:t>绿春县</w:t>
      </w:r>
      <w:r w:rsidRPr="00FA205D">
        <w:rPr>
          <w:rFonts w:ascii="Times New Roman" w:eastAsia="宋体" w:hAnsi="Times New Roman"/>
        </w:rPr>
        <w:t>2021</w:t>
      </w:r>
      <w:r w:rsidRPr="00FA205D">
        <w:rPr>
          <w:rFonts w:ascii="Times New Roman" w:eastAsia="宋体" w:hAnsi="Times New Roman"/>
        </w:rPr>
        <w:t>年国民经济和社会发展统计公报</w:t>
      </w:r>
    </w:p>
  </w:footnote>
  <w:footnote w:id="10">
    <w:p w14:paraId="79511EBA" w14:textId="02177873" w:rsidR="007E5E9C" w:rsidRDefault="007E5E9C" w:rsidP="007E5E9C">
      <w:pPr>
        <w:pStyle w:val="af2"/>
        <w:numPr>
          <w:ilvl w:val="0"/>
          <w:numId w:val="0"/>
        </w:numPr>
      </w:pPr>
      <w:r w:rsidRPr="00DB00CF">
        <w:rPr>
          <w:rStyle w:val="af4"/>
          <w:rFonts w:ascii="Times New Roman" w:eastAsia="宋体" w:hAnsi="Times New Roman"/>
          <w:sz w:val="20"/>
          <w:szCs w:val="20"/>
        </w:rPr>
        <w:footnoteRef/>
      </w:r>
      <w:r w:rsidRPr="00177832">
        <w:rPr>
          <w:rStyle w:val="af4"/>
          <w:rFonts w:ascii="Times New Roman" w:eastAsia="宋体" w:hAnsi="Times New Roman"/>
          <w:sz w:val="20"/>
          <w:szCs w:val="20"/>
          <w:vertAlign w:val="baseline"/>
        </w:rPr>
        <w:t xml:space="preserve"> </w:t>
      </w:r>
      <w:r w:rsidRPr="00DB00CF">
        <w:rPr>
          <w:rFonts w:ascii="Times New Roman" w:eastAsia="宋体" w:hAnsi="Times New Roman"/>
        </w:rPr>
        <w:t>绿春县人民政府</w:t>
      </w:r>
      <w:r w:rsidR="00951369">
        <w:rPr>
          <w:rFonts w:ascii="Times New Roman" w:eastAsia="宋体" w:hAnsi="Times New Roman" w:hint="eastAsia"/>
        </w:rPr>
        <w:t>：</w:t>
      </w:r>
      <w:r w:rsidRPr="00DB00CF">
        <w:rPr>
          <w:rFonts w:ascii="Times New Roman" w:eastAsia="宋体" w:hAnsi="Times New Roman"/>
        </w:rPr>
        <w:t>绿春县工业商务和信息化局</w:t>
      </w:r>
      <w:r w:rsidRPr="00DB00CF">
        <w:rPr>
          <w:rFonts w:ascii="Times New Roman" w:eastAsia="宋体" w:hAnsi="Times New Roman"/>
        </w:rPr>
        <w:t>2021</w:t>
      </w:r>
      <w:r w:rsidRPr="00DB00CF">
        <w:rPr>
          <w:rFonts w:ascii="Times New Roman" w:eastAsia="宋体" w:hAnsi="Times New Roman"/>
        </w:rPr>
        <w:t>年度工作总结暨</w:t>
      </w:r>
      <w:r w:rsidRPr="00DB00CF">
        <w:rPr>
          <w:rFonts w:ascii="Times New Roman" w:eastAsia="宋体" w:hAnsi="Times New Roman"/>
        </w:rPr>
        <w:t>2022</w:t>
      </w:r>
      <w:r w:rsidRPr="00DB00CF">
        <w:rPr>
          <w:rFonts w:ascii="Times New Roman" w:eastAsia="宋体" w:hAnsi="Times New Roman"/>
        </w:rPr>
        <w:t>年工作计划</w:t>
      </w:r>
    </w:p>
  </w:footnote>
  <w:footnote w:id="11">
    <w:p w14:paraId="53347721" w14:textId="651CA9CE" w:rsidR="006513D1" w:rsidRDefault="006513D1" w:rsidP="006513D1">
      <w:pPr>
        <w:pStyle w:val="af2"/>
        <w:numPr>
          <w:ilvl w:val="0"/>
          <w:numId w:val="0"/>
        </w:numPr>
      </w:pPr>
      <w:r w:rsidRPr="00FA205D">
        <w:rPr>
          <w:rStyle w:val="af4"/>
          <w:rFonts w:ascii="Times New Roman" w:eastAsia="宋体" w:hAnsi="Times New Roman"/>
          <w:sz w:val="20"/>
          <w:szCs w:val="20"/>
        </w:rPr>
        <w:footnoteRef/>
      </w:r>
      <w:r w:rsidRPr="00177832">
        <w:rPr>
          <w:rStyle w:val="af4"/>
          <w:rFonts w:ascii="Times New Roman" w:eastAsia="宋体" w:hAnsi="Times New Roman"/>
          <w:sz w:val="20"/>
          <w:szCs w:val="20"/>
          <w:vertAlign w:val="baseline"/>
        </w:rPr>
        <w:t xml:space="preserve"> </w:t>
      </w:r>
      <w:r w:rsidRPr="00FA205D">
        <w:rPr>
          <w:rFonts w:ascii="Times New Roman" w:eastAsia="宋体" w:hAnsi="Times New Roman" w:hint="eastAsia"/>
        </w:rPr>
        <w:t>绿春县人民政府</w:t>
      </w:r>
      <w:r w:rsidR="00951369">
        <w:rPr>
          <w:rFonts w:ascii="Times New Roman" w:eastAsia="宋体" w:hAnsi="Times New Roman" w:hint="eastAsia"/>
        </w:rPr>
        <w:t>：</w:t>
      </w:r>
      <w:r w:rsidRPr="00FA205D">
        <w:rPr>
          <w:rFonts w:ascii="Times New Roman" w:eastAsia="宋体" w:hAnsi="Times New Roman" w:hint="eastAsia"/>
        </w:rPr>
        <w:t>绿春县</w:t>
      </w:r>
      <w:r w:rsidRPr="00FA205D">
        <w:rPr>
          <w:rFonts w:ascii="Times New Roman" w:eastAsia="宋体" w:hAnsi="Times New Roman"/>
        </w:rPr>
        <w:t>2021</w:t>
      </w:r>
      <w:r w:rsidRPr="00FA205D">
        <w:rPr>
          <w:rFonts w:ascii="Times New Roman" w:eastAsia="宋体" w:hAnsi="Times New Roman"/>
        </w:rPr>
        <w:t>年国民经济和社会发展统计公报</w:t>
      </w:r>
    </w:p>
  </w:footnote>
  <w:footnote w:id="12">
    <w:p w14:paraId="0EDD7C84" w14:textId="0424EF38" w:rsidR="006513D1" w:rsidRDefault="006513D1" w:rsidP="006513D1">
      <w:pPr>
        <w:pStyle w:val="af2"/>
        <w:numPr>
          <w:ilvl w:val="0"/>
          <w:numId w:val="0"/>
        </w:numPr>
      </w:pPr>
      <w:r w:rsidRPr="006513D1">
        <w:rPr>
          <w:rStyle w:val="af4"/>
          <w:rFonts w:ascii="Times New Roman" w:eastAsia="宋体" w:hAnsi="Times New Roman"/>
          <w:sz w:val="20"/>
          <w:szCs w:val="20"/>
        </w:rPr>
        <w:footnoteRef/>
      </w:r>
      <w:r w:rsidR="00986E96" w:rsidRPr="00177832">
        <w:rPr>
          <w:rStyle w:val="af4"/>
          <w:rFonts w:hint="eastAsia"/>
          <w:sz w:val="20"/>
          <w:szCs w:val="20"/>
          <w:vertAlign w:val="baseline"/>
        </w:rPr>
        <w:t xml:space="preserve"> </w:t>
      </w:r>
      <w:r w:rsidRPr="006513D1">
        <w:rPr>
          <w:rFonts w:ascii="Times New Roman" w:eastAsia="宋体" w:hAnsi="Times New Roman"/>
        </w:rPr>
        <w:t>专题报告之三</w:t>
      </w:r>
      <w:r w:rsidR="00885C09">
        <w:rPr>
          <w:rFonts w:ascii="Times New Roman" w:eastAsia="宋体" w:hAnsi="Times New Roman" w:hint="eastAsia"/>
        </w:rPr>
        <w:t>：</w:t>
      </w:r>
      <w:r w:rsidRPr="006513D1">
        <w:rPr>
          <w:rFonts w:ascii="Times New Roman" w:eastAsia="宋体" w:hAnsi="Times New Roman"/>
        </w:rPr>
        <w:t>2020</w:t>
      </w:r>
      <w:r w:rsidRPr="006513D1">
        <w:rPr>
          <w:rFonts w:ascii="Times New Roman" w:eastAsia="宋体" w:hAnsi="Times New Roman"/>
        </w:rPr>
        <w:t>年证券行业履行脱贫攻坚社会责任综述</w:t>
      </w:r>
    </w:p>
  </w:footnote>
  <w:footnote w:id="13">
    <w:p w14:paraId="0B2C692D" w14:textId="6BA39596" w:rsidR="000E2765" w:rsidRDefault="000E2765" w:rsidP="000E2765">
      <w:pPr>
        <w:pStyle w:val="af2"/>
        <w:numPr>
          <w:ilvl w:val="0"/>
          <w:numId w:val="0"/>
        </w:numPr>
      </w:pPr>
      <w:r w:rsidRPr="00FA205D">
        <w:rPr>
          <w:rStyle w:val="af4"/>
          <w:rFonts w:ascii="Times New Roman" w:eastAsia="宋体" w:hAnsi="Times New Roman"/>
          <w:sz w:val="20"/>
          <w:szCs w:val="20"/>
        </w:rPr>
        <w:footnoteRef/>
      </w:r>
      <w:r w:rsidR="00986E96" w:rsidRPr="00177832">
        <w:rPr>
          <w:rStyle w:val="af4"/>
          <w:rFonts w:ascii="Times New Roman" w:eastAsia="宋体" w:hAnsi="Times New Roman"/>
          <w:sz w:val="20"/>
          <w:szCs w:val="20"/>
          <w:vertAlign w:val="baseline"/>
        </w:rPr>
        <w:t xml:space="preserve"> </w:t>
      </w:r>
      <w:r w:rsidRPr="000E2765">
        <w:rPr>
          <w:rFonts w:ascii="Times New Roman" w:eastAsia="宋体" w:hAnsi="Times New Roman"/>
        </w:rPr>
        <w:t>李奇霖</w:t>
      </w:r>
      <w:r w:rsidRPr="000E2765">
        <w:rPr>
          <w:rFonts w:ascii="Times New Roman" w:eastAsia="宋体" w:hAnsi="Times New Roman"/>
        </w:rPr>
        <w:t>,</w:t>
      </w:r>
      <w:r w:rsidRPr="000E2765">
        <w:rPr>
          <w:rFonts w:ascii="Times New Roman" w:eastAsia="宋体" w:hAnsi="Times New Roman"/>
        </w:rPr>
        <w:t>孙永乐</w:t>
      </w:r>
      <w:r w:rsidR="00885C09">
        <w:rPr>
          <w:rFonts w:ascii="Times New Roman" w:eastAsia="宋体" w:hAnsi="Times New Roman" w:hint="eastAsia"/>
        </w:rPr>
        <w:t>：</w:t>
      </w:r>
      <w:r w:rsidRPr="000E2765">
        <w:rPr>
          <w:rFonts w:ascii="Times New Roman" w:eastAsia="宋体" w:hAnsi="Times New Roman"/>
        </w:rPr>
        <w:t>证券业服务乡村振兴研究</w:t>
      </w:r>
    </w:p>
  </w:footnote>
  <w:footnote w:id="14">
    <w:p w14:paraId="4C0758F9" w14:textId="0B047BC6" w:rsidR="006A7114" w:rsidRPr="003F58BC" w:rsidRDefault="003F58BC" w:rsidP="006A7114">
      <w:pPr>
        <w:pStyle w:val="af2"/>
        <w:numPr>
          <w:ilvl w:val="0"/>
          <w:numId w:val="0"/>
        </w:numPr>
      </w:pPr>
      <w:r w:rsidRPr="00FA205D">
        <w:rPr>
          <w:rStyle w:val="af4"/>
          <w:rFonts w:ascii="Times New Roman" w:eastAsia="宋体" w:hAnsi="Times New Roman"/>
          <w:sz w:val="20"/>
          <w:szCs w:val="20"/>
        </w:rPr>
        <w:footnoteRef/>
      </w:r>
      <w:r w:rsidRPr="00177832">
        <w:rPr>
          <w:rStyle w:val="af4"/>
          <w:rFonts w:ascii="Times New Roman" w:eastAsia="宋体" w:hAnsi="Times New Roman"/>
          <w:sz w:val="20"/>
          <w:szCs w:val="20"/>
          <w:vertAlign w:val="baseline"/>
        </w:rPr>
        <w:t xml:space="preserve"> </w:t>
      </w:r>
      <w:r w:rsidRPr="003F58BC">
        <w:rPr>
          <w:rFonts w:ascii="Times New Roman" w:eastAsia="宋体" w:hAnsi="Times New Roman"/>
        </w:rPr>
        <w:t>专题报告之三</w:t>
      </w:r>
      <w:r w:rsidR="00885C09">
        <w:rPr>
          <w:rFonts w:ascii="Times New Roman" w:eastAsia="宋体" w:hAnsi="Times New Roman" w:hint="eastAsia"/>
        </w:rPr>
        <w:t>：</w:t>
      </w:r>
      <w:r w:rsidRPr="003F58BC">
        <w:rPr>
          <w:rFonts w:ascii="Times New Roman" w:eastAsia="宋体" w:hAnsi="Times New Roman"/>
        </w:rPr>
        <w:t>2020</w:t>
      </w:r>
      <w:r w:rsidRPr="003F58BC">
        <w:rPr>
          <w:rFonts w:ascii="Times New Roman" w:eastAsia="宋体" w:hAnsi="Times New Roman"/>
        </w:rPr>
        <w:t>年证券行业履行脱贫攻坚社会责任综述</w:t>
      </w:r>
      <w:r>
        <w:rPr>
          <w:rFonts w:ascii="Times New Roman" w:eastAsia="宋体" w:hAnsi="Times New Roman" w:hint="eastAsia"/>
        </w:rPr>
        <w:t>—</w:t>
      </w:r>
      <w:r w:rsidRPr="003F58BC">
        <w:rPr>
          <w:rFonts w:ascii="Times New Roman" w:eastAsia="宋体" w:hAnsi="Times New Roman" w:hint="eastAsia"/>
        </w:rPr>
        <w:t>第二章</w:t>
      </w:r>
      <w:r w:rsidRPr="003F58BC">
        <w:rPr>
          <w:rFonts w:ascii="Times New Roman" w:eastAsia="宋体" w:hAnsi="Times New Roman"/>
        </w:rPr>
        <w:t xml:space="preserve"> </w:t>
      </w:r>
      <w:r w:rsidRPr="003F58BC">
        <w:rPr>
          <w:rFonts w:ascii="Times New Roman" w:eastAsia="宋体" w:hAnsi="Times New Roman"/>
        </w:rPr>
        <w:t>脱贫攻坚接力乡村振兴</w:t>
      </w:r>
      <w:r w:rsidRPr="003F58BC">
        <w:rPr>
          <w:rFonts w:ascii="Times New Roman" w:eastAsia="宋体" w:hAnsi="Times New Roman"/>
        </w:rPr>
        <w:t>,</w:t>
      </w:r>
      <w:r w:rsidRPr="003F58BC">
        <w:rPr>
          <w:rFonts w:ascii="Times New Roman" w:eastAsia="宋体" w:hAnsi="Times New Roman"/>
        </w:rPr>
        <w:t>证券行业贡献专业力量</w:t>
      </w:r>
    </w:p>
  </w:footnote>
  <w:footnote w:id="15">
    <w:p w14:paraId="07C79BC7" w14:textId="611AEF25" w:rsidR="006B28C0" w:rsidRDefault="006B28C0" w:rsidP="006B28C0">
      <w:pPr>
        <w:pStyle w:val="af2"/>
        <w:numPr>
          <w:ilvl w:val="0"/>
          <w:numId w:val="0"/>
        </w:numPr>
      </w:pPr>
      <w:r w:rsidRPr="00FA205D">
        <w:rPr>
          <w:rStyle w:val="af4"/>
          <w:rFonts w:ascii="Times New Roman" w:eastAsia="宋体" w:hAnsi="Times New Roman"/>
          <w:sz w:val="20"/>
          <w:szCs w:val="20"/>
        </w:rPr>
        <w:footnoteRef/>
      </w:r>
      <w:r w:rsidRPr="00177832">
        <w:rPr>
          <w:rStyle w:val="af4"/>
          <w:rFonts w:ascii="Times New Roman" w:eastAsia="宋体" w:hAnsi="Times New Roman"/>
          <w:sz w:val="20"/>
          <w:szCs w:val="20"/>
          <w:vertAlign w:val="baseline"/>
        </w:rPr>
        <w:t xml:space="preserve"> </w:t>
      </w:r>
      <w:r w:rsidRPr="000E2765">
        <w:rPr>
          <w:rFonts w:ascii="Times New Roman" w:eastAsia="宋体" w:hAnsi="Times New Roman"/>
        </w:rPr>
        <w:t>李奇霖</w:t>
      </w:r>
      <w:r w:rsidRPr="000E2765">
        <w:rPr>
          <w:rFonts w:ascii="Times New Roman" w:eastAsia="宋体" w:hAnsi="Times New Roman"/>
        </w:rPr>
        <w:t>,</w:t>
      </w:r>
      <w:r w:rsidRPr="000E2765">
        <w:rPr>
          <w:rFonts w:ascii="Times New Roman" w:eastAsia="宋体" w:hAnsi="Times New Roman"/>
        </w:rPr>
        <w:t>孙永乐</w:t>
      </w:r>
      <w:r w:rsidRPr="000E2765">
        <w:rPr>
          <w:rFonts w:ascii="Times New Roman" w:eastAsia="宋体" w:hAnsi="Times New Roman"/>
        </w:rPr>
        <w:t>.</w:t>
      </w:r>
      <w:r w:rsidRPr="000E2765">
        <w:rPr>
          <w:rFonts w:ascii="Times New Roman" w:eastAsia="宋体" w:hAnsi="Times New Roman"/>
        </w:rPr>
        <w:t>证券业服务乡村振兴研究</w:t>
      </w:r>
    </w:p>
  </w:footnote>
  <w:footnote w:id="16">
    <w:p w14:paraId="6A89ED01" w14:textId="61B38276" w:rsidR="00885C09" w:rsidRDefault="00885C09" w:rsidP="00885C09">
      <w:pPr>
        <w:pStyle w:val="af2"/>
        <w:numPr>
          <w:ilvl w:val="0"/>
          <w:numId w:val="0"/>
        </w:numPr>
      </w:pPr>
      <w:r w:rsidRPr="00FA205D">
        <w:rPr>
          <w:rStyle w:val="af4"/>
          <w:rFonts w:ascii="Times New Roman" w:eastAsia="宋体" w:hAnsi="Times New Roman"/>
          <w:sz w:val="20"/>
          <w:szCs w:val="20"/>
        </w:rPr>
        <w:footnoteRef/>
      </w:r>
      <w:r w:rsidRPr="00177832">
        <w:rPr>
          <w:rStyle w:val="af4"/>
          <w:rFonts w:ascii="Times New Roman" w:eastAsia="宋体" w:hAnsi="Times New Roman"/>
          <w:sz w:val="20"/>
          <w:szCs w:val="20"/>
          <w:vertAlign w:val="baseline"/>
        </w:rPr>
        <w:t xml:space="preserve"> </w:t>
      </w:r>
      <w:r w:rsidRPr="003F58BC">
        <w:rPr>
          <w:rFonts w:ascii="Times New Roman" w:eastAsia="宋体" w:hAnsi="Times New Roman"/>
        </w:rPr>
        <w:t>专题报告之三</w:t>
      </w:r>
      <w:r>
        <w:rPr>
          <w:rFonts w:ascii="Times New Roman" w:eastAsia="宋体" w:hAnsi="Times New Roman" w:hint="eastAsia"/>
        </w:rPr>
        <w:t>：</w:t>
      </w:r>
      <w:r w:rsidRPr="003F58BC">
        <w:rPr>
          <w:rFonts w:ascii="Times New Roman" w:eastAsia="宋体" w:hAnsi="Times New Roman"/>
        </w:rPr>
        <w:t>2020</w:t>
      </w:r>
      <w:r w:rsidRPr="003F58BC">
        <w:rPr>
          <w:rFonts w:ascii="Times New Roman" w:eastAsia="宋体" w:hAnsi="Times New Roman"/>
        </w:rPr>
        <w:t>年证券行业履行脱贫攻坚社会责任综述</w:t>
      </w:r>
      <w:r>
        <w:rPr>
          <w:rFonts w:ascii="Times New Roman" w:eastAsia="宋体" w:hAnsi="Times New Roman" w:hint="eastAsia"/>
        </w:rPr>
        <w:t>—</w:t>
      </w:r>
      <w:r w:rsidRPr="003F58BC">
        <w:rPr>
          <w:rFonts w:ascii="Times New Roman" w:eastAsia="宋体" w:hAnsi="Times New Roman" w:hint="eastAsia"/>
        </w:rPr>
        <w:t>第二章</w:t>
      </w:r>
      <w:r w:rsidRPr="003F58BC">
        <w:rPr>
          <w:rFonts w:ascii="Times New Roman" w:eastAsia="宋体" w:hAnsi="Times New Roman"/>
        </w:rPr>
        <w:t xml:space="preserve"> </w:t>
      </w:r>
      <w:r w:rsidRPr="003F58BC">
        <w:rPr>
          <w:rFonts w:ascii="Times New Roman" w:eastAsia="宋体" w:hAnsi="Times New Roman"/>
        </w:rPr>
        <w:t>脱贫攻坚接力乡村振兴</w:t>
      </w:r>
      <w:r w:rsidRPr="003F58BC">
        <w:rPr>
          <w:rFonts w:ascii="Times New Roman" w:eastAsia="宋体" w:hAnsi="Times New Roman"/>
        </w:rPr>
        <w:t>,</w:t>
      </w:r>
      <w:r w:rsidRPr="003F58BC">
        <w:rPr>
          <w:rFonts w:ascii="Times New Roman" w:eastAsia="宋体" w:hAnsi="Times New Roman"/>
        </w:rPr>
        <w:t>证券行业贡献专业力量</w:t>
      </w:r>
    </w:p>
  </w:footnote>
  <w:footnote w:id="17">
    <w:p w14:paraId="0D578DA8" w14:textId="2D0E97E9" w:rsidR="00D33483" w:rsidRDefault="00D33483" w:rsidP="00D33483">
      <w:pPr>
        <w:pStyle w:val="af2"/>
        <w:numPr>
          <w:ilvl w:val="0"/>
          <w:numId w:val="0"/>
        </w:numPr>
      </w:pPr>
      <w:r w:rsidRPr="00FA205D">
        <w:rPr>
          <w:rStyle w:val="af4"/>
          <w:rFonts w:ascii="Times New Roman" w:eastAsia="宋体" w:hAnsi="Times New Roman"/>
          <w:sz w:val="20"/>
          <w:szCs w:val="20"/>
        </w:rPr>
        <w:footnoteRef/>
      </w:r>
      <w:r w:rsidRPr="00177832">
        <w:rPr>
          <w:rStyle w:val="af4"/>
          <w:rFonts w:ascii="Times New Roman" w:eastAsia="宋体" w:hAnsi="Times New Roman"/>
          <w:sz w:val="20"/>
          <w:szCs w:val="20"/>
          <w:vertAlign w:val="baseline"/>
        </w:rPr>
        <w:t xml:space="preserve"> </w:t>
      </w:r>
      <w:r w:rsidRPr="003F58BC">
        <w:rPr>
          <w:rFonts w:ascii="Times New Roman" w:eastAsia="宋体" w:hAnsi="Times New Roman"/>
        </w:rPr>
        <w:t>专题报告之三</w:t>
      </w:r>
      <w:r>
        <w:rPr>
          <w:rFonts w:ascii="Times New Roman" w:eastAsia="宋体" w:hAnsi="Times New Roman" w:hint="eastAsia"/>
        </w:rPr>
        <w:t>：</w:t>
      </w:r>
      <w:r w:rsidRPr="003F58BC">
        <w:rPr>
          <w:rFonts w:ascii="Times New Roman" w:eastAsia="宋体" w:hAnsi="Times New Roman"/>
        </w:rPr>
        <w:t>2020</w:t>
      </w:r>
      <w:r w:rsidRPr="003F58BC">
        <w:rPr>
          <w:rFonts w:ascii="Times New Roman" w:eastAsia="宋体" w:hAnsi="Times New Roman"/>
        </w:rPr>
        <w:t>年证券行业履行脱贫攻坚社会责任综述</w:t>
      </w:r>
      <w:r>
        <w:rPr>
          <w:rFonts w:ascii="Times New Roman" w:eastAsia="宋体" w:hAnsi="Times New Roman" w:hint="eastAsia"/>
        </w:rPr>
        <w:t>—</w:t>
      </w:r>
      <w:r w:rsidRPr="003F58BC">
        <w:rPr>
          <w:rFonts w:ascii="Times New Roman" w:eastAsia="宋体" w:hAnsi="Times New Roman" w:hint="eastAsia"/>
        </w:rPr>
        <w:t>第二章</w:t>
      </w:r>
      <w:r w:rsidRPr="003F58BC">
        <w:rPr>
          <w:rFonts w:ascii="Times New Roman" w:eastAsia="宋体" w:hAnsi="Times New Roman"/>
        </w:rPr>
        <w:t xml:space="preserve"> </w:t>
      </w:r>
      <w:r w:rsidRPr="003F58BC">
        <w:rPr>
          <w:rFonts w:ascii="Times New Roman" w:eastAsia="宋体" w:hAnsi="Times New Roman"/>
        </w:rPr>
        <w:t>脱贫攻坚接力乡村振兴</w:t>
      </w:r>
      <w:r w:rsidRPr="003F58BC">
        <w:rPr>
          <w:rFonts w:ascii="Times New Roman" w:eastAsia="宋体" w:hAnsi="Times New Roman"/>
        </w:rPr>
        <w:t>,</w:t>
      </w:r>
      <w:r w:rsidRPr="003F58BC">
        <w:rPr>
          <w:rFonts w:ascii="Times New Roman" w:eastAsia="宋体" w:hAnsi="Times New Roman"/>
        </w:rPr>
        <w:t>证券行业贡献专业力量</w:t>
      </w:r>
    </w:p>
  </w:footnote>
  <w:footnote w:id="18">
    <w:p w14:paraId="7EFF2255" w14:textId="1AE6DA45" w:rsidR="001E44DB" w:rsidRDefault="001E44DB" w:rsidP="001E44DB">
      <w:pPr>
        <w:pStyle w:val="af2"/>
        <w:numPr>
          <w:ilvl w:val="0"/>
          <w:numId w:val="0"/>
        </w:numPr>
      </w:pPr>
      <w:r w:rsidRPr="00FA205D">
        <w:rPr>
          <w:rStyle w:val="af4"/>
          <w:rFonts w:ascii="Times New Roman" w:eastAsia="宋体" w:hAnsi="Times New Roman"/>
          <w:sz w:val="20"/>
          <w:szCs w:val="20"/>
        </w:rPr>
        <w:footnoteRef/>
      </w:r>
      <w:r w:rsidRPr="00177832">
        <w:rPr>
          <w:rStyle w:val="af4"/>
          <w:rFonts w:ascii="Times New Roman" w:eastAsia="宋体" w:hAnsi="Times New Roman"/>
          <w:sz w:val="20"/>
          <w:szCs w:val="20"/>
          <w:vertAlign w:val="baseline"/>
        </w:rPr>
        <w:t xml:space="preserve"> </w:t>
      </w:r>
      <w:r w:rsidRPr="001E44DB">
        <w:rPr>
          <w:rFonts w:ascii="Times New Roman" w:eastAsia="宋体" w:hAnsi="Times New Roman"/>
        </w:rPr>
        <w:t>中国证券报</w:t>
      </w:r>
      <w:r>
        <w:rPr>
          <w:rFonts w:ascii="Times New Roman" w:eastAsia="宋体" w:hAnsi="Times New Roman" w:hint="eastAsia"/>
        </w:rPr>
        <w:t>：</w:t>
      </w:r>
      <w:r w:rsidRPr="001E44DB">
        <w:rPr>
          <w:rFonts w:ascii="Times New Roman" w:eastAsia="宋体" w:hAnsi="Times New Roman"/>
        </w:rPr>
        <w:t>接续服务乡村振兴</w:t>
      </w:r>
      <w:r w:rsidRPr="001E44DB">
        <w:rPr>
          <w:rFonts w:ascii="Times New Roman" w:eastAsia="宋体" w:hAnsi="Times New Roman"/>
        </w:rPr>
        <w:t xml:space="preserve"> </w:t>
      </w:r>
      <w:r w:rsidRPr="001E44DB">
        <w:rPr>
          <w:rFonts w:ascii="Times New Roman" w:eastAsia="宋体" w:hAnsi="Times New Roman"/>
        </w:rPr>
        <w:t>积极投身公益事业</w:t>
      </w:r>
      <w:r w:rsidRPr="001E44DB">
        <w:rPr>
          <w:rFonts w:ascii="Times New Roman" w:eastAsia="宋体" w:hAnsi="Times New Roman"/>
        </w:rPr>
        <w:t xml:space="preserve"> </w:t>
      </w:r>
      <w:r w:rsidRPr="001E44DB">
        <w:rPr>
          <w:rFonts w:ascii="Times New Roman" w:eastAsia="宋体" w:hAnsi="Times New Roman"/>
        </w:rPr>
        <w:t>证券业志愿支教服务在行动</w:t>
      </w:r>
    </w:p>
  </w:footnote>
  <w:footnote w:id="19">
    <w:p w14:paraId="7C5AC68D" w14:textId="79582AC8" w:rsidR="00B85B12" w:rsidRDefault="00B85B12" w:rsidP="00B85B12">
      <w:pPr>
        <w:pStyle w:val="af2"/>
        <w:numPr>
          <w:ilvl w:val="0"/>
          <w:numId w:val="0"/>
        </w:numPr>
      </w:pPr>
      <w:r w:rsidRPr="00FA205D">
        <w:rPr>
          <w:rStyle w:val="af4"/>
          <w:rFonts w:ascii="Times New Roman" w:eastAsia="宋体" w:hAnsi="Times New Roman"/>
          <w:sz w:val="20"/>
          <w:szCs w:val="20"/>
        </w:rPr>
        <w:footnoteRef/>
      </w:r>
      <w:r w:rsidRPr="00177832">
        <w:rPr>
          <w:rStyle w:val="af4"/>
          <w:rFonts w:ascii="Times New Roman" w:eastAsia="宋体" w:hAnsi="Times New Roman"/>
          <w:sz w:val="20"/>
          <w:szCs w:val="20"/>
          <w:vertAlign w:val="baseline"/>
        </w:rPr>
        <w:t xml:space="preserve"> </w:t>
      </w:r>
      <w:r w:rsidRPr="00B85B12">
        <w:rPr>
          <w:rFonts w:ascii="Times New Roman" w:eastAsia="宋体" w:hAnsi="Times New Roman"/>
        </w:rPr>
        <w:t>新华网</w:t>
      </w:r>
      <w:r>
        <w:rPr>
          <w:rFonts w:ascii="Times New Roman" w:eastAsia="宋体" w:hAnsi="Times New Roman" w:hint="eastAsia"/>
        </w:rPr>
        <w:t>：</w:t>
      </w:r>
      <w:r w:rsidRPr="00B85B12">
        <w:rPr>
          <w:rFonts w:ascii="Times New Roman" w:eastAsia="宋体" w:hAnsi="Times New Roman"/>
        </w:rPr>
        <w:t>安信证券：发挥专业优势</w:t>
      </w:r>
      <w:r w:rsidRPr="00B85B12">
        <w:rPr>
          <w:rFonts w:ascii="Times New Roman" w:eastAsia="宋体" w:hAnsi="Times New Roman"/>
        </w:rPr>
        <w:t xml:space="preserve"> </w:t>
      </w:r>
      <w:r w:rsidRPr="00B85B12">
        <w:rPr>
          <w:rFonts w:ascii="Times New Roman" w:eastAsia="宋体" w:hAnsi="Times New Roman"/>
        </w:rPr>
        <w:t>助力罗甸县退出贫困县序列</w:t>
      </w:r>
    </w:p>
  </w:footnote>
  <w:footnote w:id="20">
    <w:p w14:paraId="68E2F9E8" w14:textId="5A1F49EA" w:rsidR="00292D7A" w:rsidRDefault="00292D7A" w:rsidP="00292D7A">
      <w:pPr>
        <w:pStyle w:val="af2"/>
        <w:numPr>
          <w:ilvl w:val="0"/>
          <w:numId w:val="0"/>
        </w:numPr>
      </w:pPr>
      <w:r w:rsidRPr="00FA205D">
        <w:rPr>
          <w:rStyle w:val="af4"/>
          <w:rFonts w:ascii="Times New Roman" w:eastAsia="宋体" w:hAnsi="Times New Roman"/>
          <w:sz w:val="20"/>
          <w:szCs w:val="20"/>
        </w:rPr>
        <w:footnoteRef/>
      </w:r>
      <w:r w:rsidRPr="00177832">
        <w:rPr>
          <w:rStyle w:val="af4"/>
          <w:rFonts w:ascii="Times New Roman" w:eastAsia="宋体" w:hAnsi="Times New Roman"/>
          <w:sz w:val="20"/>
          <w:szCs w:val="20"/>
          <w:vertAlign w:val="baseline"/>
        </w:rPr>
        <w:t xml:space="preserve"> </w:t>
      </w:r>
      <w:r w:rsidRPr="00B85B12">
        <w:rPr>
          <w:rFonts w:ascii="Times New Roman" w:eastAsia="宋体" w:hAnsi="Times New Roman"/>
        </w:rPr>
        <w:t>新华网</w:t>
      </w:r>
      <w:r>
        <w:rPr>
          <w:rFonts w:ascii="Times New Roman" w:eastAsia="宋体" w:hAnsi="Times New Roman" w:hint="eastAsia"/>
        </w:rPr>
        <w:t>：</w:t>
      </w:r>
      <w:r w:rsidRPr="00B85B12">
        <w:rPr>
          <w:rFonts w:ascii="Times New Roman" w:eastAsia="宋体" w:hAnsi="Times New Roman"/>
        </w:rPr>
        <w:t>安信证券：发挥专业优势</w:t>
      </w:r>
      <w:r w:rsidRPr="00B85B12">
        <w:rPr>
          <w:rFonts w:ascii="Times New Roman" w:eastAsia="宋体" w:hAnsi="Times New Roman"/>
        </w:rPr>
        <w:t xml:space="preserve"> </w:t>
      </w:r>
      <w:r w:rsidRPr="00B85B12">
        <w:rPr>
          <w:rFonts w:ascii="Times New Roman" w:eastAsia="宋体" w:hAnsi="Times New Roman"/>
        </w:rPr>
        <w:t>助力罗甸县退出贫困县序列</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459CD" w14:textId="77777777" w:rsidR="00FF5359" w:rsidRPr="00FF5359" w:rsidRDefault="00FF5359" w:rsidP="00F7286A">
    <w:pPr>
      <w:numPr>
        <w:ilvl w:val="0"/>
        <w:numId w:val="0"/>
      </w:numPr>
      <w:ind w:left="50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054AA"/>
    <w:multiLevelType w:val="hybridMultilevel"/>
    <w:tmpl w:val="96969BFE"/>
    <w:lvl w:ilvl="0" w:tplc="0C463FC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2503432"/>
    <w:multiLevelType w:val="multilevel"/>
    <w:tmpl w:val="6874BFC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25515B3D"/>
    <w:multiLevelType w:val="hybridMultilevel"/>
    <w:tmpl w:val="D42C2642"/>
    <w:lvl w:ilvl="0" w:tplc="0C463FC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1466430"/>
    <w:multiLevelType w:val="multilevel"/>
    <w:tmpl w:val="03648A8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532F018F"/>
    <w:multiLevelType w:val="hybridMultilevel"/>
    <w:tmpl w:val="DE527F4E"/>
    <w:lvl w:ilvl="0" w:tplc="0C463FC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11A6F73"/>
    <w:multiLevelType w:val="hybridMultilevel"/>
    <w:tmpl w:val="A33E2484"/>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15:restartNumberingAfterBreak="0">
    <w:nsid w:val="794C1815"/>
    <w:multiLevelType w:val="multilevel"/>
    <w:tmpl w:val="288854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a"/>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22007340">
    <w:abstractNumId w:val="0"/>
  </w:num>
  <w:num w:numId="2" w16cid:durableId="501551779">
    <w:abstractNumId w:val="2"/>
  </w:num>
  <w:num w:numId="3" w16cid:durableId="1114179085">
    <w:abstractNumId w:val="4"/>
  </w:num>
  <w:num w:numId="4" w16cid:durableId="1584684395">
    <w:abstractNumId w:val="6"/>
  </w:num>
  <w:num w:numId="5" w16cid:durableId="2076970326">
    <w:abstractNumId w:val="5"/>
  </w:num>
  <w:num w:numId="6" w16cid:durableId="480006370">
    <w:abstractNumId w:val="6"/>
  </w:num>
  <w:num w:numId="7" w16cid:durableId="11362162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E7B"/>
    <w:rsid w:val="000004FB"/>
    <w:rsid w:val="0000057F"/>
    <w:rsid w:val="00000FC5"/>
    <w:rsid w:val="00002129"/>
    <w:rsid w:val="00004536"/>
    <w:rsid w:val="00005E00"/>
    <w:rsid w:val="00010303"/>
    <w:rsid w:val="000109D5"/>
    <w:rsid w:val="000179AF"/>
    <w:rsid w:val="000226CC"/>
    <w:rsid w:val="0002349D"/>
    <w:rsid w:val="00026E19"/>
    <w:rsid w:val="000301CB"/>
    <w:rsid w:val="00034B66"/>
    <w:rsid w:val="00041DFE"/>
    <w:rsid w:val="0004475F"/>
    <w:rsid w:val="0004579F"/>
    <w:rsid w:val="00054426"/>
    <w:rsid w:val="000560C9"/>
    <w:rsid w:val="0006148D"/>
    <w:rsid w:val="000633A7"/>
    <w:rsid w:val="00064B9B"/>
    <w:rsid w:val="00065356"/>
    <w:rsid w:val="000730A0"/>
    <w:rsid w:val="00081DB8"/>
    <w:rsid w:val="00086F42"/>
    <w:rsid w:val="00093063"/>
    <w:rsid w:val="000972BE"/>
    <w:rsid w:val="000A15F0"/>
    <w:rsid w:val="000A70B0"/>
    <w:rsid w:val="000B0362"/>
    <w:rsid w:val="000B4CB2"/>
    <w:rsid w:val="000B5B1E"/>
    <w:rsid w:val="000B7CA8"/>
    <w:rsid w:val="000C6AEC"/>
    <w:rsid w:val="000C6BD9"/>
    <w:rsid w:val="000C75CF"/>
    <w:rsid w:val="000D4BD2"/>
    <w:rsid w:val="000D63F5"/>
    <w:rsid w:val="000D6735"/>
    <w:rsid w:val="000E2765"/>
    <w:rsid w:val="000E3A44"/>
    <w:rsid w:val="000E4EE0"/>
    <w:rsid w:val="000E57BA"/>
    <w:rsid w:val="00110C75"/>
    <w:rsid w:val="00116855"/>
    <w:rsid w:val="00125C7D"/>
    <w:rsid w:val="001266D8"/>
    <w:rsid w:val="00140123"/>
    <w:rsid w:val="00140F54"/>
    <w:rsid w:val="0014241E"/>
    <w:rsid w:val="0014729E"/>
    <w:rsid w:val="00151645"/>
    <w:rsid w:val="0015183F"/>
    <w:rsid w:val="00156084"/>
    <w:rsid w:val="00162FFF"/>
    <w:rsid w:val="001646A2"/>
    <w:rsid w:val="00170BD9"/>
    <w:rsid w:val="00173D8E"/>
    <w:rsid w:val="00174C94"/>
    <w:rsid w:val="001769A4"/>
    <w:rsid w:val="00177832"/>
    <w:rsid w:val="00177D20"/>
    <w:rsid w:val="00185994"/>
    <w:rsid w:val="00187116"/>
    <w:rsid w:val="0019388A"/>
    <w:rsid w:val="00193E2F"/>
    <w:rsid w:val="0019695E"/>
    <w:rsid w:val="00197D82"/>
    <w:rsid w:val="001A00F6"/>
    <w:rsid w:val="001A1BAC"/>
    <w:rsid w:val="001A5C2B"/>
    <w:rsid w:val="001A5CDB"/>
    <w:rsid w:val="001A6899"/>
    <w:rsid w:val="001B0AB8"/>
    <w:rsid w:val="001C242F"/>
    <w:rsid w:val="001C7D40"/>
    <w:rsid w:val="001D1C02"/>
    <w:rsid w:val="001D4BC3"/>
    <w:rsid w:val="001D590B"/>
    <w:rsid w:val="001E0CE5"/>
    <w:rsid w:val="001E3492"/>
    <w:rsid w:val="001E44DB"/>
    <w:rsid w:val="001F0667"/>
    <w:rsid w:val="001F209D"/>
    <w:rsid w:val="001F62B8"/>
    <w:rsid w:val="00201FF2"/>
    <w:rsid w:val="00202908"/>
    <w:rsid w:val="00207E44"/>
    <w:rsid w:val="00216AD7"/>
    <w:rsid w:val="002272FC"/>
    <w:rsid w:val="00230457"/>
    <w:rsid w:val="00232020"/>
    <w:rsid w:val="00241452"/>
    <w:rsid w:val="00241E97"/>
    <w:rsid w:val="0024578D"/>
    <w:rsid w:val="002535E4"/>
    <w:rsid w:val="00257260"/>
    <w:rsid w:val="002638FB"/>
    <w:rsid w:val="00263F04"/>
    <w:rsid w:val="00263FAC"/>
    <w:rsid w:val="002646E0"/>
    <w:rsid w:val="00271056"/>
    <w:rsid w:val="0027147C"/>
    <w:rsid w:val="00272CE3"/>
    <w:rsid w:val="00272D77"/>
    <w:rsid w:val="00275009"/>
    <w:rsid w:val="002768FF"/>
    <w:rsid w:val="00276A22"/>
    <w:rsid w:val="002805E2"/>
    <w:rsid w:val="00282D81"/>
    <w:rsid w:val="00292D7A"/>
    <w:rsid w:val="0029318C"/>
    <w:rsid w:val="0029429B"/>
    <w:rsid w:val="00295E99"/>
    <w:rsid w:val="002A0C68"/>
    <w:rsid w:val="002A1C04"/>
    <w:rsid w:val="002A4840"/>
    <w:rsid w:val="002B0C15"/>
    <w:rsid w:val="002B5462"/>
    <w:rsid w:val="002B6A37"/>
    <w:rsid w:val="002C01F9"/>
    <w:rsid w:val="002C15F8"/>
    <w:rsid w:val="002C3ECF"/>
    <w:rsid w:val="002E37BB"/>
    <w:rsid w:val="002E5613"/>
    <w:rsid w:val="002E6096"/>
    <w:rsid w:val="002E64A3"/>
    <w:rsid w:val="002F0997"/>
    <w:rsid w:val="002F2EE1"/>
    <w:rsid w:val="002F3295"/>
    <w:rsid w:val="002F6E8D"/>
    <w:rsid w:val="00300823"/>
    <w:rsid w:val="00302529"/>
    <w:rsid w:val="003049F9"/>
    <w:rsid w:val="00305D5B"/>
    <w:rsid w:val="00320BE4"/>
    <w:rsid w:val="003240B7"/>
    <w:rsid w:val="00325E6C"/>
    <w:rsid w:val="00326CD3"/>
    <w:rsid w:val="0033177C"/>
    <w:rsid w:val="0033629E"/>
    <w:rsid w:val="00336776"/>
    <w:rsid w:val="003414A9"/>
    <w:rsid w:val="00345A70"/>
    <w:rsid w:val="0034690A"/>
    <w:rsid w:val="00347053"/>
    <w:rsid w:val="00353B08"/>
    <w:rsid w:val="00356C3D"/>
    <w:rsid w:val="00356DB2"/>
    <w:rsid w:val="00360D23"/>
    <w:rsid w:val="00362B10"/>
    <w:rsid w:val="003645EC"/>
    <w:rsid w:val="00365B4A"/>
    <w:rsid w:val="00370881"/>
    <w:rsid w:val="00371B0A"/>
    <w:rsid w:val="00373F4A"/>
    <w:rsid w:val="00377DA5"/>
    <w:rsid w:val="003814FD"/>
    <w:rsid w:val="003864AC"/>
    <w:rsid w:val="003908FB"/>
    <w:rsid w:val="003931A7"/>
    <w:rsid w:val="003A567D"/>
    <w:rsid w:val="003A629F"/>
    <w:rsid w:val="003B472E"/>
    <w:rsid w:val="003B6CF0"/>
    <w:rsid w:val="003C2019"/>
    <w:rsid w:val="003C32F2"/>
    <w:rsid w:val="003C7135"/>
    <w:rsid w:val="003D1C8F"/>
    <w:rsid w:val="003D2AA4"/>
    <w:rsid w:val="003D425A"/>
    <w:rsid w:val="003F4EC3"/>
    <w:rsid w:val="003F58BC"/>
    <w:rsid w:val="003F63BD"/>
    <w:rsid w:val="0041205A"/>
    <w:rsid w:val="00412213"/>
    <w:rsid w:val="0041592E"/>
    <w:rsid w:val="00422619"/>
    <w:rsid w:val="00422F7D"/>
    <w:rsid w:val="00424397"/>
    <w:rsid w:val="004314C4"/>
    <w:rsid w:val="00435C11"/>
    <w:rsid w:val="004433C5"/>
    <w:rsid w:val="00446E17"/>
    <w:rsid w:val="00450327"/>
    <w:rsid w:val="0045454D"/>
    <w:rsid w:val="0046263F"/>
    <w:rsid w:val="00463AE3"/>
    <w:rsid w:val="00467F26"/>
    <w:rsid w:val="00476498"/>
    <w:rsid w:val="00480B21"/>
    <w:rsid w:val="00482399"/>
    <w:rsid w:val="004A2005"/>
    <w:rsid w:val="004A2C9B"/>
    <w:rsid w:val="004A57FD"/>
    <w:rsid w:val="004B2D50"/>
    <w:rsid w:val="004B49ED"/>
    <w:rsid w:val="004D2077"/>
    <w:rsid w:val="004D6C1E"/>
    <w:rsid w:val="004D7D88"/>
    <w:rsid w:val="004E1EB7"/>
    <w:rsid w:val="004E5FD3"/>
    <w:rsid w:val="004F5CFD"/>
    <w:rsid w:val="005117FB"/>
    <w:rsid w:val="005122A5"/>
    <w:rsid w:val="00512A79"/>
    <w:rsid w:val="0051480B"/>
    <w:rsid w:val="005174A2"/>
    <w:rsid w:val="00521477"/>
    <w:rsid w:val="005230FF"/>
    <w:rsid w:val="00531676"/>
    <w:rsid w:val="00531774"/>
    <w:rsid w:val="005330F1"/>
    <w:rsid w:val="00543808"/>
    <w:rsid w:val="00551418"/>
    <w:rsid w:val="00554FBC"/>
    <w:rsid w:val="00564BF2"/>
    <w:rsid w:val="005756F3"/>
    <w:rsid w:val="00575BF2"/>
    <w:rsid w:val="0058188D"/>
    <w:rsid w:val="005821DD"/>
    <w:rsid w:val="00583804"/>
    <w:rsid w:val="00592F1D"/>
    <w:rsid w:val="00595476"/>
    <w:rsid w:val="005A07A8"/>
    <w:rsid w:val="005A694C"/>
    <w:rsid w:val="005B01BE"/>
    <w:rsid w:val="005C04A8"/>
    <w:rsid w:val="005C0500"/>
    <w:rsid w:val="005E2213"/>
    <w:rsid w:val="005E74A2"/>
    <w:rsid w:val="005F0846"/>
    <w:rsid w:val="005F59F7"/>
    <w:rsid w:val="006003EC"/>
    <w:rsid w:val="006028D5"/>
    <w:rsid w:val="00604C54"/>
    <w:rsid w:val="00606B8F"/>
    <w:rsid w:val="00607083"/>
    <w:rsid w:val="00607EBC"/>
    <w:rsid w:val="00613C11"/>
    <w:rsid w:val="00615A92"/>
    <w:rsid w:val="00631472"/>
    <w:rsid w:val="00633072"/>
    <w:rsid w:val="0063610D"/>
    <w:rsid w:val="006368EB"/>
    <w:rsid w:val="00637175"/>
    <w:rsid w:val="0064226F"/>
    <w:rsid w:val="006444FB"/>
    <w:rsid w:val="0064554C"/>
    <w:rsid w:val="00647164"/>
    <w:rsid w:val="00650149"/>
    <w:rsid w:val="00650A83"/>
    <w:rsid w:val="006513D1"/>
    <w:rsid w:val="006564F5"/>
    <w:rsid w:val="006623C7"/>
    <w:rsid w:val="00671C37"/>
    <w:rsid w:val="0067468D"/>
    <w:rsid w:val="00674AEC"/>
    <w:rsid w:val="00681E84"/>
    <w:rsid w:val="00687DEC"/>
    <w:rsid w:val="00694A21"/>
    <w:rsid w:val="00696266"/>
    <w:rsid w:val="006A0D1E"/>
    <w:rsid w:val="006A11F2"/>
    <w:rsid w:val="006A1B73"/>
    <w:rsid w:val="006A351A"/>
    <w:rsid w:val="006A3F4E"/>
    <w:rsid w:val="006A7114"/>
    <w:rsid w:val="006B09D5"/>
    <w:rsid w:val="006B28C0"/>
    <w:rsid w:val="006B63B2"/>
    <w:rsid w:val="006B68AE"/>
    <w:rsid w:val="006B6C7B"/>
    <w:rsid w:val="006B6FDB"/>
    <w:rsid w:val="006B71F8"/>
    <w:rsid w:val="006C2B65"/>
    <w:rsid w:val="006C406B"/>
    <w:rsid w:val="006C575F"/>
    <w:rsid w:val="006D5946"/>
    <w:rsid w:val="006E729B"/>
    <w:rsid w:val="006F7655"/>
    <w:rsid w:val="00701330"/>
    <w:rsid w:val="007057DD"/>
    <w:rsid w:val="0071391D"/>
    <w:rsid w:val="00714EBD"/>
    <w:rsid w:val="007157F8"/>
    <w:rsid w:val="0072004E"/>
    <w:rsid w:val="007232B2"/>
    <w:rsid w:val="00723A83"/>
    <w:rsid w:val="007300D3"/>
    <w:rsid w:val="0073133E"/>
    <w:rsid w:val="0073485B"/>
    <w:rsid w:val="00735DDD"/>
    <w:rsid w:val="007372FA"/>
    <w:rsid w:val="0074050B"/>
    <w:rsid w:val="007439FB"/>
    <w:rsid w:val="007444D5"/>
    <w:rsid w:val="00744890"/>
    <w:rsid w:val="0074497F"/>
    <w:rsid w:val="00744D70"/>
    <w:rsid w:val="00746049"/>
    <w:rsid w:val="00750989"/>
    <w:rsid w:val="00752054"/>
    <w:rsid w:val="007534A2"/>
    <w:rsid w:val="00755806"/>
    <w:rsid w:val="00757CC0"/>
    <w:rsid w:val="00762294"/>
    <w:rsid w:val="007670E6"/>
    <w:rsid w:val="00774F74"/>
    <w:rsid w:val="00785293"/>
    <w:rsid w:val="007962A2"/>
    <w:rsid w:val="007A5960"/>
    <w:rsid w:val="007A6FCC"/>
    <w:rsid w:val="007B06B8"/>
    <w:rsid w:val="007B1144"/>
    <w:rsid w:val="007B1546"/>
    <w:rsid w:val="007B23C9"/>
    <w:rsid w:val="007B342D"/>
    <w:rsid w:val="007B42A2"/>
    <w:rsid w:val="007B59F2"/>
    <w:rsid w:val="007B5C02"/>
    <w:rsid w:val="007C2055"/>
    <w:rsid w:val="007C3EB0"/>
    <w:rsid w:val="007C483D"/>
    <w:rsid w:val="007C5167"/>
    <w:rsid w:val="007C6315"/>
    <w:rsid w:val="007D1082"/>
    <w:rsid w:val="007D1AD2"/>
    <w:rsid w:val="007D2DD8"/>
    <w:rsid w:val="007D3579"/>
    <w:rsid w:val="007E1B83"/>
    <w:rsid w:val="007E462B"/>
    <w:rsid w:val="007E5E9C"/>
    <w:rsid w:val="007E6C85"/>
    <w:rsid w:val="007F141C"/>
    <w:rsid w:val="007F1F41"/>
    <w:rsid w:val="007F26E6"/>
    <w:rsid w:val="007F32BE"/>
    <w:rsid w:val="00800F97"/>
    <w:rsid w:val="00802D98"/>
    <w:rsid w:val="008036CB"/>
    <w:rsid w:val="00811E19"/>
    <w:rsid w:val="00817B04"/>
    <w:rsid w:val="00820F09"/>
    <w:rsid w:val="00824DCE"/>
    <w:rsid w:val="008250E7"/>
    <w:rsid w:val="00825F1A"/>
    <w:rsid w:val="00827C7C"/>
    <w:rsid w:val="008323D6"/>
    <w:rsid w:val="008425AA"/>
    <w:rsid w:val="008467CF"/>
    <w:rsid w:val="008477F5"/>
    <w:rsid w:val="008524C0"/>
    <w:rsid w:val="00857F6A"/>
    <w:rsid w:val="00867DEF"/>
    <w:rsid w:val="00867EF9"/>
    <w:rsid w:val="00867F97"/>
    <w:rsid w:val="008712FF"/>
    <w:rsid w:val="0087336E"/>
    <w:rsid w:val="00873671"/>
    <w:rsid w:val="00873830"/>
    <w:rsid w:val="00875117"/>
    <w:rsid w:val="0088174A"/>
    <w:rsid w:val="00885C09"/>
    <w:rsid w:val="00886744"/>
    <w:rsid w:val="0089024B"/>
    <w:rsid w:val="00890464"/>
    <w:rsid w:val="00891601"/>
    <w:rsid w:val="00897B4A"/>
    <w:rsid w:val="008B1B03"/>
    <w:rsid w:val="008B45EE"/>
    <w:rsid w:val="008B58F5"/>
    <w:rsid w:val="008B7EB7"/>
    <w:rsid w:val="008C06EC"/>
    <w:rsid w:val="008C6AEE"/>
    <w:rsid w:val="008C716A"/>
    <w:rsid w:val="008C7D71"/>
    <w:rsid w:val="008D084F"/>
    <w:rsid w:val="008D555D"/>
    <w:rsid w:val="008E2B84"/>
    <w:rsid w:val="008E3EE7"/>
    <w:rsid w:val="008E53B8"/>
    <w:rsid w:val="00900C93"/>
    <w:rsid w:val="00901946"/>
    <w:rsid w:val="00904912"/>
    <w:rsid w:val="0090602A"/>
    <w:rsid w:val="0090698D"/>
    <w:rsid w:val="009076A4"/>
    <w:rsid w:val="009200FA"/>
    <w:rsid w:val="00924F0B"/>
    <w:rsid w:val="009252FC"/>
    <w:rsid w:val="009254A8"/>
    <w:rsid w:val="00925510"/>
    <w:rsid w:val="00931A5D"/>
    <w:rsid w:val="00932959"/>
    <w:rsid w:val="00934A0F"/>
    <w:rsid w:val="00941D1D"/>
    <w:rsid w:val="00950400"/>
    <w:rsid w:val="00950716"/>
    <w:rsid w:val="00951369"/>
    <w:rsid w:val="009569B4"/>
    <w:rsid w:val="00957380"/>
    <w:rsid w:val="00957FBB"/>
    <w:rsid w:val="00963B17"/>
    <w:rsid w:val="00965368"/>
    <w:rsid w:val="00967E9D"/>
    <w:rsid w:val="00982613"/>
    <w:rsid w:val="00982C65"/>
    <w:rsid w:val="00982EE9"/>
    <w:rsid w:val="009843CD"/>
    <w:rsid w:val="00986E2C"/>
    <w:rsid w:val="00986E96"/>
    <w:rsid w:val="009954B1"/>
    <w:rsid w:val="009A2A24"/>
    <w:rsid w:val="009B1035"/>
    <w:rsid w:val="009B2F25"/>
    <w:rsid w:val="009C232F"/>
    <w:rsid w:val="009C36D7"/>
    <w:rsid w:val="009C6302"/>
    <w:rsid w:val="009D77FF"/>
    <w:rsid w:val="009E29F1"/>
    <w:rsid w:val="009F0D79"/>
    <w:rsid w:val="009F194C"/>
    <w:rsid w:val="009F2FBB"/>
    <w:rsid w:val="009F4475"/>
    <w:rsid w:val="009F4888"/>
    <w:rsid w:val="009F7D69"/>
    <w:rsid w:val="00A02F03"/>
    <w:rsid w:val="00A044BE"/>
    <w:rsid w:val="00A07F16"/>
    <w:rsid w:val="00A10FD3"/>
    <w:rsid w:val="00A14344"/>
    <w:rsid w:val="00A252C8"/>
    <w:rsid w:val="00A255A2"/>
    <w:rsid w:val="00A475E6"/>
    <w:rsid w:val="00A50F4C"/>
    <w:rsid w:val="00A56B0A"/>
    <w:rsid w:val="00A63892"/>
    <w:rsid w:val="00A66AFB"/>
    <w:rsid w:val="00A6796B"/>
    <w:rsid w:val="00A67D66"/>
    <w:rsid w:val="00A70A45"/>
    <w:rsid w:val="00A70E63"/>
    <w:rsid w:val="00A7187F"/>
    <w:rsid w:val="00A808FB"/>
    <w:rsid w:val="00A86798"/>
    <w:rsid w:val="00A90F89"/>
    <w:rsid w:val="00A912AF"/>
    <w:rsid w:val="00A922C0"/>
    <w:rsid w:val="00A94789"/>
    <w:rsid w:val="00A96269"/>
    <w:rsid w:val="00AA33A7"/>
    <w:rsid w:val="00AA51A2"/>
    <w:rsid w:val="00AA760F"/>
    <w:rsid w:val="00AB152F"/>
    <w:rsid w:val="00AC0242"/>
    <w:rsid w:val="00AD1ECF"/>
    <w:rsid w:val="00AD3B08"/>
    <w:rsid w:val="00AE07FA"/>
    <w:rsid w:val="00AE75BA"/>
    <w:rsid w:val="00AF023B"/>
    <w:rsid w:val="00AF07C3"/>
    <w:rsid w:val="00B0098A"/>
    <w:rsid w:val="00B016DD"/>
    <w:rsid w:val="00B02F30"/>
    <w:rsid w:val="00B03706"/>
    <w:rsid w:val="00B22041"/>
    <w:rsid w:val="00B22981"/>
    <w:rsid w:val="00B23F4C"/>
    <w:rsid w:val="00B30181"/>
    <w:rsid w:val="00B30AE8"/>
    <w:rsid w:val="00B331D4"/>
    <w:rsid w:val="00B424CA"/>
    <w:rsid w:val="00B439C1"/>
    <w:rsid w:val="00B43C28"/>
    <w:rsid w:val="00B51EA9"/>
    <w:rsid w:val="00B5371F"/>
    <w:rsid w:val="00B74FAA"/>
    <w:rsid w:val="00B80EEB"/>
    <w:rsid w:val="00B81439"/>
    <w:rsid w:val="00B836A3"/>
    <w:rsid w:val="00B85B12"/>
    <w:rsid w:val="00B87DD4"/>
    <w:rsid w:val="00B92999"/>
    <w:rsid w:val="00B92E1D"/>
    <w:rsid w:val="00B93017"/>
    <w:rsid w:val="00B933F1"/>
    <w:rsid w:val="00BA5AB0"/>
    <w:rsid w:val="00BA6DD1"/>
    <w:rsid w:val="00BB3819"/>
    <w:rsid w:val="00BC2292"/>
    <w:rsid w:val="00BC3601"/>
    <w:rsid w:val="00BC54A0"/>
    <w:rsid w:val="00BD0308"/>
    <w:rsid w:val="00BD442C"/>
    <w:rsid w:val="00BD651F"/>
    <w:rsid w:val="00BD6944"/>
    <w:rsid w:val="00BE1357"/>
    <w:rsid w:val="00BE64E4"/>
    <w:rsid w:val="00BE65CE"/>
    <w:rsid w:val="00BF065C"/>
    <w:rsid w:val="00BF1E5D"/>
    <w:rsid w:val="00BF5522"/>
    <w:rsid w:val="00BF7447"/>
    <w:rsid w:val="00BF7E27"/>
    <w:rsid w:val="00C04FE0"/>
    <w:rsid w:val="00C05E19"/>
    <w:rsid w:val="00C05E62"/>
    <w:rsid w:val="00C116A3"/>
    <w:rsid w:val="00C122C6"/>
    <w:rsid w:val="00C22B9B"/>
    <w:rsid w:val="00C2552C"/>
    <w:rsid w:val="00C26917"/>
    <w:rsid w:val="00C3584A"/>
    <w:rsid w:val="00C37C83"/>
    <w:rsid w:val="00C447C6"/>
    <w:rsid w:val="00C44FCF"/>
    <w:rsid w:val="00C54299"/>
    <w:rsid w:val="00C616C2"/>
    <w:rsid w:val="00C64BF4"/>
    <w:rsid w:val="00C65411"/>
    <w:rsid w:val="00C721F9"/>
    <w:rsid w:val="00C82867"/>
    <w:rsid w:val="00C84751"/>
    <w:rsid w:val="00C85EFA"/>
    <w:rsid w:val="00C93180"/>
    <w:rsid w:val="00C93C9C"/>
    <w:rsid w:val="00C9454F"/>
    <w:rsid w:val="00CA12A2"/>
    <w:rsid w:val="00CA42F9"/>
    <w:rsid w:val="00CB09D8"/>
    <w:rsid w:val="00CB1B39"/>
    <w:rsid w:val="00CB1DC5"/>
    <w:rsid w:val="00CB48AF"/>
    <w:rsid w:val="00CB77C8"/>
    <w:rsid w:val="00CD3DE3"/>
    <w:rsid w:val="00CD6709"/>
    <w:rsid w:val="00CE10B0"/>
    <w:rsid w:val="00CE50B4"/>
    <w:rsid w:val="00CE5B90"/>
    <w:rsid w:val="00CE6E09"/>
    <w:rsid w:val="00CF014F"/>
    <w:rsid w:val="00CF52CE"/>
    <w:rsid w:val="00CF7B4B"/>
    <w:rsid w:val="00D01167"/>
    <w:rsid w:val="00D0608A"/>
    <w:rsid w:val="00D1194D"/>
    <w:rsid w:val="00D21BE8"/>
    <w:rsid w:val="00D249B8"/>
    <w:rsid w:val="00D31547"/>
    <w:rsid w:val="00D323CE"/>
    <w:rsid w:val="00D33483"/>
    <w:rsid w:val="00D336C7"/>
    <w:rsid w:val="00D34BE9"/>
    <w:rsid w:val="00D350AD"/>
    <w:rsid w:val="00D52A32"/>
    <w:rsid w:val="00D57610"/>
    <w:rsid w:val="00D66C95"/>
    <w:rsid w:val="00D700A5"/>
    <w:rsid w:val="00D717C7"/>
    <w:rsid w:val="00D73143"/>
    <w:rsid w:val="00D813E4"/>
    <w:rsid w:val="00D8147A"/>
    <w:rsid w:val="00D85844"/>
    <w:rsid w:val="00D90113"/>
    <w:rsid w:val="00D90B64"/>
    <w:rsid w:val="00D9140B"/>
    <w:rsid w:val="00D92ACC"/>
    <w:rsid w:val="00DA0224"/>
    <w:rsid w:val="00DA3249"/>
    <w:rsid w:val="00DA6E43"/>
    <w:rsid w:val="00DB00CF"/>
    <w:rsid w:val="00DB2E58"/>
    <w:rsid w:val="00DC319C"/>
    <w:rsid w:val="00DC5925"/>
    <w:rsid w:val="00DD0135"/>
    <w:rsid w:val="00DD3E2E"/>
    <w:rsid w:val="00DD4E7B"/>
    <w:rsid w:val="00DD51BD"/>
    <w:rsid w:val="00DD5496"/>
    <w:rsid w:val="00DE12C6"/>
    <w:rsid w:val="00DE4753"/>
    <w:rsid w:val="00DE6557"/>
    <w:rsid w:val="00DF42E8"/>
    <w:rsid w:val="00DF67AB"/>
    <w:rsid w:val="00E0017A"/>
    <w:rsid w:val="00E030AA"/>
    <w:rsid w:val="00E04D1D"/>
    <w:rsid w:val="00E1247F"/>
    <w:rsid w:val="00E1562B"/>
    <w:rsid w:val="00E23942"/>
    <w:rsid w:val="00E23A22"/>
    <w:rsid w:val="00E24F59"/>
    <w:rsid w:val="00E27879"/>
    <w:rsid w:val="00E2791C"/>
    <w:rsid w:val="00E30836"/>
    <w:rsid w:val="00E30C2B"/>
    <w:rsid w:val="00E323AE"/>
    <w:rsid w:val="00E40184"/>
    <w:rsid w:val="00E40D9E"/>
    <w:rsid w:val="00E43970"/>
    <w:rsid w:val="00E45F7C"/>
    <w:rsid w:val="00E47B15"/>
    <w:rsid w:val="00E51DD9"/>
    <w:rsid w:val="00E53410"/>
    <w:rsid w:val="00E53449"/>
    <w:rsid w:val="00E53470"/>
    <w:rsid w:val="00E624B1"/>
    <w:rsid w:val="00E624B7"/>
    <w:rsid w:val="00E6691D"/>
    <w:rsid w:val="00E66F32"/>
    <w:rsid w:val="00E74506"/>
    <w:rsid w:val="00E745FF"/>
    <w:rsid w:val="00E75593"/>
    <w:rsid w:val="00E77C91"/>
    <w:rsid w:val="00E77E14"/>
    <w:rsid w:val="00E81CB6"/>
    <w:rsid w:val="00E8515F"/>
    <w:rsid w:val="00E93E61"/>
    <w:rsid w:val="00EA3FD1"/>
    <w:rsid w:val="00EA5215"/>
    <w:rsid w:val="00EB09E6"/>
    <w:rsid w:val="00EB0BDA"/>
    <w:rsid w:val="00EB401D"/>
    <w:rsid w:val="00EB48B6"/>
    <w:rsid w:val="00EB5401"/>
    <w:rsid w:val="00EB752E"/>
    <w:rsid w:val="00EC3441"/>
    <w:rsid w:val="00EC7C2E"/>
    <w:rsid w:val="00ED36F8"/>
    <w:rsid w:val="00ED4511"/>
    <w:rsid w:val="00EE2510"/>
    <w:rsid w:val="00EE43BC"/>
    <w:rsid w:val="00EE7F4C"/>
    <w:rsid w:val="00EF3253"/>
    <w:rsid w:val="00EF5747"/>
    <w:rsid w:val="00F032FB"/>
    <w:rsid w:val="00F07BE4"/>
    <w:rsid w:val="00F14117"/>
    <w:rsid w:val="00F14AB8"/>
    <w:rsid w:val="00F27F80"/>
    <w:rsid w:val="00F34D9F"/>
    <w:rsid w:val="00F354FB"/>
    <w:rsid w:val="00F4449A"/>
    <w:rsid w:val="00F4531F"/>
    <w:rsid w:val="00F463AA"/>
    <w:rsid w:val="00F53732"/>
    <w:rsid w:val="00F574E1"/>
    <w:rsid w:val="00F64C7C"/>
    <w:rsid w:val="00F7286A"/>
    <w:rsid w:val="00F75B4F"/>
    <w:rsid w:val="00F81DFB"/>
    <w:rsid w:val="00F878B1"/>
    <w:rsid w:val="00F975F3"/>
    <w:rsid w:val="00FA205D"/>
    <w:rsid w:val="00FA46C6"/>
    <w:rsid w:val="00FB573C"/>
    <w:rsid w:val="00FC5103"/>
    <w:rsid w:val="00FD09E9"/>
    <w:rsid w:val="00FD34C9"/>
    <w:rsid w:val="00FD6E68"/>
    <w:rsid w:val="00FE0289"/>
    <w:rsid w:val="00FE3986"/>
    <w:rsid w:val="00FF5359"/>
    <w:rsid w:val="00FF6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D23C8"/>
  <w15:chartTrackingRefBased/>
  <w15:docId w15:val="{444014BA-30E4-4FEF-8248-2113BB70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numPr>
        <w:ilvl w:val="7"/>
        <w:numId w:val="4"/>
      </w:numPr>
      <w:jc w:val="both"/>
    </w:pPr>
  </w:style>
  <w:style w:type="paragraph" w:styleId="1">
    <w:name w:val="heading 1"/>
    <w:basedOn w:val="a"/>
    <w:next w:val="a"/>
    <w:link w:val="10"/>
    <w:uiPriority w:val="9"/>
    <w:rsid w:val="00811E1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1">
    <w:name w:val="001一级标题"/>
    <w:link w:val="0010"/>
    <w:qFormat/>
    <w:rsid w:val="00ED4511"/>
    <w:pPr>
      <w:keepNext/>
      <w:keepLines/>
      <w:widowControl w:val="0"/>
      <w:spacing w:beforeLines="50" w:before="50" w:afterLines="50" w:after="50" w:line="360" w:lineRule="auto"/>
      <w:jc w:val="center"/>
      <w:outlineLvl w:val="0"/>
    </w:pPr>
    <w:rPr>
      <w:rFonts w:ascii="Times New Roman" w:eastAsia="黑体" w:hAnsi="Times New Roman" w:cs="Times New Roman"/>
      <w:b/>
      <w:bCs/>
      <w:sz w:val="30"/>
      <w:szCs w:val="28"/>
      <w:lang w:val="zh-CN"/>
    </w:rPr>
  </w:style>
  <w:style w:type="character" w:customStyle="1" w:styleId="0010">
    <w:name w:val="001一级标题 字符"/>
    <w:link w:val="001"/>
    <w:qFormat/>
    <w:rsid w:val="00ED4511"/>
    <w:rPr>
      <w:rFonts w:ascii="Times New Roman" w:eastAsia="黑体" w:hAnsi="Times New Roman" w:cs="Times New Roman"/>
      <w:b/>
      <w:bCs/>
      <w:sz w:val="30"/>
      <w:szCs w:val="28"/>
      <w:lang w:val="zh-CN"/>
    </w:rPr>
  </w:style>
  <w:style w:type="paragraph" w:customStyle="1" w:styleId="002">
    <w:name w:val="002二级标题"/>
    <w:link w:val="002Char"/>
    <w:qFormat/>
    <w:rsid w:val="00D34BE9"/>
    <w:pPr>
      <w:keepNext/>
      <w:keepLines/>
      <w:widowControl w:val="0"/>
      <w:spacing w:beforeLines="50" w:before="50" w:afterLines="50" w:after="50" w:line="360" w:lineRule="auto"/>
      <w:outlineLvl w:val="1"/>
    </w:pPr>
    <w:rPr>
      <w:rFonts w:ascii="Times New Roman" w:eastAsia="黑体" w:hAnsi="Times New Roman" w:cs="Times New Roman"/>
      <w:b/>
      <w:bCs/>
      <w:sz w:val="28"/>
      <w:szCs w:val="28"/>
    </w:rPr>
  </w:style>
  <w:style w:type="character" w:customStyle="1" w:styleId="002Char">
    <w:name w:val="002二级标题 Char"/>
    <w:link w:val="002"/>
    <w:qFormat/>
    <w:rsid w:val="00D34BE9"/>
    <w:rPr>
      <w:rFonts w:ascii="Times New Roman" w:eastAsia="黑体" w:hAnsi="Times New Roman" w:cs="Times New Roman"/>
      <w:b/>
      <w:bCs/>
      <w:sz w:val="28"/>
      <w:szCs w:val="28"/>
    </w:rPr>
  </w:style>
  <w:style w:type="paragraph" w:customStyle="1" w:styleId="003">
    <w:name w:val="003三级标题"/>
    <w:next w:val="005"/>
    <w:link w:val="003Char"/>
    <w:qFormat/>
    <w:rsid w:val="00ED4511"/>
    <w:pPr>
      <w:keepNext/>
      <w:keepLines/>
      <w:widowControl w:val="0"/>
      <w:spacing w:beforeLines="50" w:before="50" w:afterLines="50" w:after="50" w:line="360" w:lineRule="auto"/>
      <w:ind w:firstLineChars="200" w:firstLine="200"/>
      <w:outlineLvl w:val="2"/>
    </w:pPr>
    <w:rPr>
      <w:rFonts w:ascii="Times New Roman" w:eastAsia="黑体" w:hAnsi="Times New Roman" w:cs="Times New Roman"/>
      <w:b/>
      <w:bCs/>
      <w:sz w:val="24"/>
      <w:szCs w:val="28"/>
    </w:rPr>
  </w:style>
  <w:style w:type="character" w:customStyle="1" w:styleId="003Char">
    <w:name w:val="003三级标题 Char"/>
    <w:link w:val="003"/>
    <w:qFormat/>
    <w:rsid w:val="00ED4511"/>
    <w:rPr>
      <w:rFonts w:ascii="Times New Roman" w:eastAsia="黑体" w:hAnsi="Times New Roman" w:cs="Times New Roman"/>
      <w:b/>
      <w:bCs/>
      <w:sz w:val="24"/>
      <w:szCs w:val="28"/>
    </w:rPr>
  </w:style>
  <w:style w:type="paragraph" w:customStyle="1" w:styleId="004">
    <w:name w:val="004四级标题"/>
    <w:link w:val="004Char"/>
    <w:qFormat/>
    <w:rsid w:val="0027147C"/>
    <w:pPr>
      <w:keepNext/>
      <w:keepLines/>
      <w:widowControl w:val="0"/>
      <w:spacing w:beforeLines="50" w:before="50" w:afterLines="50" w:after="50" w:line="360" w:lineRule="auto"/>
      <w:ind w:firstLineChars="200" w:firstLine="200"/>
      <w:jc w:val="both"/>
      <w:outlineLvl w:val="3"/>
    </w:pPr>
    <w:rPr>
      <w:rFonts w:ascii="Times New Roman" w:eastAsia="宋体" w:hAnsi="Times New Roman" w:cs="Times New Roman"/>
      <w:b/>
      <w:bCs/>
      <w:sz w:val="24"/>
      <w:szCs w:val="28"/>
    </w:rPr>
  </w:style>
  <w:style w:type="character" w:customStyle="1" w:styleId="004Char">
    <w:name w:val="004四级标题 Char"/>
    <w:link w:val="004"/>
    <w:qFormat/>
    <w:rsid w:val="0027147C"/>
    <w:rPr>
      <w:rFonts w:ascii="Times New Roman" w:eastAsia="宋体" w:hAnsi="Times New Roman" w:cs="Times New Roman"/>
      <w:b/>
      <w:bCs/>
      <w:sz w:val="24"/>
      <w:szCs w:val="28"/>
    </w:rPr>
  </w:style>
  <w:style w:type="paragraph" w:customStyle="1" w:styleId="005">
    <w:name w:val="005正文"/>
    <w:link w:val="005Char"/>
    <w:qFormat/>
    <w:rsid w:val="004314C4"/>
    <w:pPr>
      <w:widowControl w:val="0"/>
      <w:spacing w:line="360" w:lineRule="auto"/>
      <w:ind w:firstLineChars="200" w:firstLine="200"/>
      <w:jc w:val="both"/>
    </w:pPr>
    <w:rPr>
      <w:rFonts w:ascii="Times New Roman" w:eastAsia="宋体" w:hAnsi="Times New Roman" w:cs="Times New Roman"/>
      <w:sz w:val="24"/>
    </w:rPr>
  </w:style>
  <w:style w:type="character" w:customStyle="1" w:styleId="005Char">
    <w:name w:val="005正文 Char"/>
    <w:link w:val="005"/>
    <w:qFormat/>
    <w:rsid w:val="004314C4"/>
    <w:rPr>
      <w:rFonts w:ascii="Times New Roman" w:eastAsia="宋体" w:hAnsi="Times New Roman" w:cs="Times New Roman"/>
      <w:sz w:val="24"/>
    </w:rPr>
  </w:style>
  <w:style w:type="paragraph" w:customStyle="1" w:styleId="006">
    <w:name w:val="006备注"/>
    <w:qFormat/>
    <w:rsid w:val="0027147C"/>
    <w:pPr>
      <w:widowControl w:val="0"/>
      <w:ind w:firstLineChars="200" w:firstLine="200"/>
      <w:jc w:val="both"/>
    </w:pPr>
    <w:rPr>
      <w:rFonts w:ascii="Times New Roman" w:eastAsia="宋体" w:hAnsi="Times New Roman" w:cs="Arial"/>
      <w:bCs/>
    </w:rPr>
  </w:style>
  <w:style w:type="paragraph" w:customStyle="1" w:styleId="007">
    <w:name w:val="007楷体正文"/>
    <w:basedOn w:val="a"/>
    <w:semiHidden/>
    <w:qFormat/>
    <w:rsid w:val="0027147C"/>
    <w:pPr>
      <w:spacing w:beforeLines="50" w:afterLines="50" w:line="360" w:lineRule="auto"/>
      <w:ind w:firstLineChars="200" w:firstLine="200"/>
    </w:pPr>
    <w:rPr>
      <w:rFonts w:ascii="楷体" w:eastAsia="楷体" w:hAnsi="宋体" w:cs="Times New Roman"/>
      <w:b/>
      <w:sz w:val="24"/>
      <w:szCs w:val="24"/>
    </w:rPr>
  </w:style>
  <w:style w:type="paragraph" w:customStyle="1" w:styleId="009">
    <w:name w:val="009单位"/>
    <w:qFormat/>
    <w:rsid w:val="0027147C"/>
    <w:pPr>
      <w:keepNext/>
      <w:widowControl w:val="0"/>
      <w:jc w:val="right"/>
    </w:pPr>
    <w:rPr>
      <w:rFonts w:ascii="Times New Roman" w:eastAsia="宋体" w:hAnsi="Times New Roman" w:cs="Times New Roman"/>
    </w:rPr>
  </w:style>
  <w:style w:type="paragraph" w:customStyle="1" w:styleId="014">
    <w:name w:val="014五级标题"/>
    <w:semiHidden/>
    <w:qFormat/>
    <w:rsid w:val="0027147C"/>
    <w:pPr>
      <w:keepNext/>
      <w:keepLines/>
      <w:spacing w:beforeLines="50" w:afterLines="50" w:line="360" w:lineRule="auto"/>
      <w:ind w:firstLineChars="200" w:firstLine="200"/>
      <w:outlineLvl w:val="4"/>
    </w:pPr>
    <w:rPr>
      <w:rFonts w:ascii="Times New Roman" w:eastAsia="宋体" w:hAnsi="Times New Roman" w:cs="Times New Roman"/>
      <w:b/>
      <w:sz w:val="24"/>
      <w:szCs w:val="24"/>
    </w:rPr>
  </w:style>
  <w:style w:type="paragraph" w:customStyle="1" w:styleId="015">
    <w:name w:val="015四级标题楷体"/>
    <w:basedOn w:val="a"/>
    <w:semiHidden/>
    <w:qFormat/>
    <w:rsid w:val="0027147C"/>
    <w:pPr>
      <w:keepNext/>
      <w:keepLines/>
      <w:widowControl/>
      <w:spacing w:beforeLines="50" w:afterLines="50" w:line="360" w:lineRule="auto"/>
      <w:ind w:firstLineChars="200" w:firstLine="200"/>
      <w:jc w:val="left"/>
      <w:outlineLvl w:val="4"/>
    </w:pPr>
    <w:rPr>
      <w:rFonts w:ascii="楷体" w:eastAsia="楷体" w:hAnsi="Times New Roman" w:cs="Times New Roman"/>
      <w:b/>
      <w:sz w:val="24"/>
      <w:szCs w:val="24"/>
    </w:rPr>
  </w:style>
  <w:style w:type="paragraph" w:customStyle="1" w:styleId="a3">
    <w:name w:val="文件标题"/>
    <w:basedOn w:val="002"/>
    <w:next w:val="005"/>
    <w:rsid w:val="003C2019"/>
    <w:rPr>
      <w:sz w:val="30"/>
    </w:rPr>
  </w:style>
  <w:style w:type="paragraph" w:customStyle="1" w:styleId="0050">
    <w:name w:val="005五级标题"/>
    <w:basedOn w:val="005"/>
    <w:next w:val="005"/>
    <w:qFormat/>
    <w:rsid w:val="00897B4A"/>
    <w:pPr>
      <w:outlineLvl w:val="4"/>
    </w:pPr>
    <w:rPr>
      <w:b/>
      <w:bCs/>
      <w:szCs w:val="44"/>
    </w:rPr>
  </w:style>
  <w:style w:type="paragraph" w:customStyle="1" w:styleId="0070">
    <w:name w:val="007表格"/>
    <w:basedOn w:val="005"/>
    <w:qFormat/>
    <w:rsid w:val="00897B4A"/>
    <w:pPr>
      <w:spacing w:line="240" w:lineRule="auto"/>
      <w:ind w:firstLineChars="0" w:firstLine="0"/>
    </w:pPr>
    <w:rPr>
      <w:sz w:val="21"/>
    </w:rPr>
  </w:style>
  <w:style w:type="paragraph" w:styleId="a4">
    <w:name w:val="header"/>
    <w:basedOn w:val="a"/>
    <w:link w:val="a5"/>
    <w:uiPriority w:val="99"/>
    <w:unhideWhenUsed/>
    <w:rsid w:val="00174C9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74C94"/>
    <w:rPr>
      <w:sz w:val="18"/>
      <w:szCs w:val="18"/>
    </w:rPr>
  </w:style>
  <w:style w:type="paragraph" w:styleId="a6">
    <w:name w:val="footer"/>
    <w:basedOn w:val="a"/>
    <w:link w:val="a7"/>
    <w:uiPriority w:val="99"/>
    <w:unhideWhenUsed/>
    <w:rsid w:val="00174C94"/>
    <w:pPr>
      <w:tabs>
        <w:tab w:val="center" w:pos="4153"/>
        <w:tab w:val="right" w:pos="8306"/>
      </w:tabs>
      <w:snapToGrid w:val="0"/>
      <w:jc w:val="left"/>
    </w:pPr>
    <w:rPr>
      <w:sz w:val="18"/>
      <w:szCs w:val="18"/>
    </w:rPr>
  </w:style>
  <w:style w:type="character" w:customStyle="1" w:styleId="a7">
    <w:name w:val="页脚 字符"/>
    <w:basedOn w:val="a0"/>
    <w:link w:val="a6"/>
    <w:uiPriority w:val="99"/>
    <w:rsid w:val="00174C94"/>
    <w:rPr>
      <w:sz w:val="18"/>
      <w:szCs w:val="18"/>
    </w:rPr>
  </w:style>
  <w:style w:type="paragraph" w:customStyle="1" w:styleId="CAbstract">
    <w:name w:val="CAbstract"/>
    <w:basedOn w:val="a"/>
    <w:next w:val="a"/>
    <w:rsid w:val="004314C4"/>
    <w:pPr>
      <w:numPr>
        <w:ilvl w:val="0"/>
        <w:numId w:val="0"/>
      </w:numPr>
      <w:spacing w:beforeLines="50" w:before="156" w:afterLines="50" w:after="156"/>
      <w:ind w:rightChars="180" w:right="378"/>
    </w:pPr>
    <w:rPr>
      <w:rFonts w:ascii="Times New Roman" w:eastAsia="宋体" w:hAnsi="Times New Roman" w:cs="Times New Roman"/>
      <w:sz w:val="18"/>
      <w:szCs w:val="24"/>
    </w:rPr>
  </w:style>
  <w:style w:type="paragraph" w:customStyle="1" w:styleId="0040">
    <w:name w:val="004图表"/>
    <w:basedOn w:val="005"/>
    <w:qFormat/>
    <w:rsid w:val="00002129"/>
    <w:pPr>
      <w:ind w:firstLineChars="0" w:firstLine="0"/>
      <w:jc w:val="center"/>
    </w:pPr>
    <w:rPr>
      <w:b/>
      <w:sz w:val="21"/>
    </w:rPr>
  </w:style>
  <w:style w:type="table" w:styleId="a8">
    <w:name w:val="Table Grid"/>
    <w:basedOn w:val="a1"/>
    <w:uiPriority w:val="39"/>
    <w:rsid w:val="008B5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811E19"/>
    <w:rPr>
      <w:b/>
      <w:bCs/>
      <w:kern w:val="44"/>
      <w:sz w:val="44"/>
      <w:szCs w:val="44"/>
    </w:rPr>
  </w:style>
  <w:style w:type="paragraph" w:styleId="TOC">
    <w:name w:val="TOC Heading"/>
    <w:basedOn w:val="1"/>
    <w:next w:val="a"/>
    <w:uiPriority w:val="39"/>
    <w:unhideWhenUsed/>
    <w:qFormat/>
    <w:rsid w:val="00811E19"/>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next w:val="a"/>
    <w:autoRedefine/>
    <w:uiPriority w:val="39"/>
    <w:unhideWhenUsed/>
    <w:rsid w:val="007B1546"/>
    <w:pPr>
      <w:spacing w:line="360" w:lineRule="auto"/>
      <w:ind w:firstLineChars="200" w:firstLine="200"/>
    </w:pPr>
    <w:rPr>
      <w:rFonts w:ascii="Times New Roman" w:eastAsia="宋体" w:hAnsi="Times New Roman" w:cs="Times New Roman"/>
      <w:bCs/>
      <w:sz w:val="24"/>
      <w:szCs w:val="28"/>
    </w:rPr>
  </w:style>
  <w:style w:type="paragraph" w:styleId="TOC3">
    <w:name w:val="toc 3"/>
    <w:basedOn w:val="a"/>
    <w:next w:val="a"/>
    <w:autoRedefine/>
    <w:uiPriority w:val="39"/>
    <w:unhideWhenUsed/>
    <w:rsid w:val="00DE12C6"/>
    <w:pPr>
      <w:numPr>
        <w:ilvl w:val="0"/>
        <w:numId w:val="0"/>
      </w:numPr>
      <w:spacing w:line="360" w:lineRule="auto"/>
      <w:ind w:leftChars="400" w:left="400"/>
    </w:pPr>
    <w:rPr>
      <w:rFonts w:ascii="Times New Roman" w:eastAsia="宋体" w:hAnsi="Times New Roman"/>
      <w:sz w:val="24"/>
    </w:rPr>
  </w:style>
  <w:style w:type="character" w:styleId="a9">
    <w:name w:val="Hyperlink"/>
    <w:basedOn w:val="a0"/>
    <w:uiPriority w:val="99"/>
    <w:unhideWhenUsed/>
    <w:rsid w:val="00811E19"/>
    <w:rPr>
      <w:color w:val="0563C1" w:themeColor="hyperlink"/>
      <w:u w:val="single"/>
    </w:rPr>
  </w:style>
  <w:style w:type="character" w:styleId="aa">
    <w:name w:val="Unresolved Mention"/>
    <w:basedOn w:val="a0"/>
    <w:uiPriority w:val="99"/>
    <w:semiHidden/>
    <w:unhideWhenUsed/>
    <w:rsid w:val="0089024B"/>
    <w:rPr>
      <w:color w:val="605E5C"/>
      <w:shd w:val="clear" w:color="auto" w:fill="E1DFDD"/>
    </w:rPr>
  </w:style>
  <w:style w:type="paragraph" w:styleId="TOC1">
    <w:name w:val="toc 1"/>
    <w:next w:val="a"/>
    <w:autoRedefine/>
    <w:uiPriority w:val="39"/>
    <w:unhideWhenUsed/>
    <w:rsid w:val="000B4CB2"/>
    <w:pPr>
      <w:tabs>
        <w:tab w:val="right" w:leader="dot" w:pos="9628"/>
      </w:tabs>
      <w:spacing w:line="360" w:lineRule="auto"/>
    </w:pPr>
    <w:rPr>
      <w:rFonts w:ascii="Times New Roman" w:eastAsia="宋体" w:hAnsi="Times New Roman" w:cs="Times New Roman"/>
      <w:bCs/>
      <w:sz w:val="24"/>
      <w:szCs w:val="28"/>
      <w:lang w:val="zh-CN"/>
    </w:rPr>
  </w:style>
  <w:style w:type="paragraph" w:styleId="ab">
    <w:name w:val="Revision"/>
    <w:hidden/>
    <w:uiPriority w:val="99"/>
    <w:semiHidden/>
    <w:rsid w:val="00C9454F"/>
  </w:style>
  <w:style w:type="character" w:styleId="ac">
    <w:name w:val="annotation reference"/>
    <w:basedOn w:val="a0"/>
    <w:uiPriority w:val="99"/>
    <w:semiHidden/>
    <w:unhideWhenUsed/>
    <w:rsid w:val="00CF52CE"/>
    <w:rPr>
      <w:sz w:val="21"/>
      <w:szCs w:val="21"/>
    </w:rPr>
  </w:style>
  <w:style w:type="paragraph" w:styleId="ad">
    <w:name w:val="annotation text"/>
    <w:basedOn w:val="a"/>
    <w:link w:val="ae"/>
    <w:uiPriority w:val="99"/>
    <w:unhideWhenUsed/>
    <w:rsid w:val="00CF52CE"/>
    <w:pPr>
      <w:jc w:val="left"/>
    </w:pPr>
  </w:style>
  <w:style w:type="character" w:customStyle="1" w:styleId="ae">
    <w:name w:val="批注文字 字符"/>
    <w:basedOn w:val="a0"/>
    <w:link w:val="ad"/>
    <w:uiPriority w:val="99"/>
    <w:rsid w:val="00CF52CE"/>
  </w:style>
  <w:style w:type="paragraph" w:styleId="af">
    <w:name w:val="annotation subject"/>
    <w:basedOn w:val="ad"/>
    <w:next w:val="ad"/>
    <w:link w:val="af0"/>
    <w:uiPriority w:val="99"/>
    <w:semiHidden/>
    <w:unhideWhenUsed/>
    <w:rsid w:val="00CF52CE"/>
    <w:rPr>
      <w:b/>
      <w:bCs/>
    </w:rPr>
  </w:style>
  <w:style w:type="character" w:customStyle="1" w:styleId="af0">
    <w:name w:val="批注主题 字符"/>
    <w:basedOn w:val="ae"/>
    <w:link w:val="af"/>
    <w:uiPriority w:val="99"/>
    <w:semiHidden/>
    <w:rsid w:val="00CF52CE"/>
    <w:rPr>
      <w:b/>
      <w:bCs/>
    </w:rPr>
  </w:style>
  <w:style w:type="paragraph" w:styleId="af1">
    <w:name w:val="List Paragraph"/>
    <w:basedOn w:val="a"/>
    <w:uiPriority w:val="34"/>
    <w:qFormat/>
    <w:rsid w:val="00F7286A"/>
    <w:pPr>
      <w:ind w:firstLineChars="200" w:firstLine="420"/>
    </w:pPr>
  </w:style>
  <w:style w:type="paragraph" w:styleId="af2">
    <w:name w:val="footnote text"/>
    <w:basedOn w:val="a"/>
    <w:link w:val="af3"/>
    <w:uiPriority w:val="99"/>
    <w:semiHidden/>
    <w:unhideWhenUsed/>
    <w:rsid w:val="00A02F03"/>
    <w:pPr>
      <w:snapToGrid w:val="0"/>
      <w:jc w:val="left"/>
    </w:pPr>
    <w:rPr>
      <w:sz w:val="18"/>
      <w:szCs w:val="18"/>
    </w:rPr>
  </w:style>
  <w:style w:type="character" w:customStyle="1" w:styleId="af3">
    <w:name w:val="脚注文本 字符"/>
    <w:basedOn w:val="a0"/>
    <w:link w:val="af2"/>
    <w:uiPriority w:val="99"/>
    <w:semiHidden/>
    <w:rsid w:val="00A02F03"/>
    <w:rPr>
      <w:sz w:val="18"/>
      <w:szCs w:val="18"/>
    </w:rPr>
  </w:style>
  <w:style w:type="character" w:styleId="af4">
    <w:name w:val="footnote reference"/>
    <w:basedOn w:val="a0"/>
    <w:uiPriority w:val="99"/>
    <w:semiHidden/>
    <w:unhideWhenUsed/>
    <w:rsid w:val="00A02F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38302">
      <w:bodyDiv w:val="1"/>
      <w:marLeft w:val="0"/>
      <w:marRight w:val="0"/>
      <w:marTop w:val="0"/>
      <w:marBottom w:val="0"/>
      <w:divBdr>
        <w:top w:val="none" w:sz="0" w:space="0" w:color="auto"/>
        <w:left w:val="none" w:sz="0" w:space="0" w:color="auto"/>
        <w:bottom w:val="none" w:sz="0" w:space="0" w:color="auto"/>
        <w:right w:val="none" w:sz="0" w:space="0" w:color="auto"/>
      </w:divBdr>
    </w:div>
    <w:div w:id="924606613">
      <w:bodyDiv w:val="1"/>
      <w:marLeft w:val="0"/>
      <w:marRight w:val="0"/>
      <w:marTop w:val="0"/>
      <w:marBottom w:val="0"/>
      <w:divBdr>
        <w:top w:val="none" w:sz="0" w:space="0" w:color="auto"/>
        <w:left w:val="none" w:sz="0" w:space="0" w:color="auto"/>
        <w:bottom w:val="none" w:sz="0" w:space="0" w:color="auto"/>
        <w:right w:val="none" w:sz="0" w:space="0" w:color="auto"/>
      </w:divBdr>
    </w:div>
    <w:div w:id="190266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c.hh.gov.cn/zfxxgk_16058/fdzdgknr/tjxx/202203/t20220330_578258.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c.hh.gov.cn/zfxxgk_16058/fdzdgknr/lcgk_16677/202207/t20220713_593894.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s.com.cn/qs/202208/t20220816_6291094.htm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1-&#23454;&#20064;&#27719;&#24635;\1-&#23433;&#20449;&#23454;&#20064;\4-&#25206;&#36139;&#35838;&#39064;\1-&#25253;&#21578;&#20889;&#20316;\&#25968;&#25454;\&#32511;&#26149;&#21439;&#20892;&#19994;&#31867;&#2241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1-&#23454;&#20064;&#27719;&#24635;\1-&#23433;&#20449;&#23454;&#20064;\4-&#25206;&#36139;&#35838;&#39064;\1-&#25253;&#21578;&#20889;&#20316;\&#25968;&#25454;\&#32511;&#26149;&#21439;&#20892;&#19994;&#31867;&#2241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Sheet1!$B$22</c:f>
              <c:strCache>
                <c:ptCount val="1"/>
                <c:pt idx="0">
                  <c:v>产值</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04F-4EE2-B40C-E8B022913BD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04F-4EE2-B40C-E8B022913BD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04F-4EE2-B40C-E8B022913BD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04F-4EE2-B40C-E8B022913BD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04F-4EE2-B40C-E8B022913BD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宋体" panose="02010600030101010101" pitchFamily="2" charset="-122"/>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Sheet1!$A$23:$A$27</c:f>
              <c:strCache>
                <c:ptCount val="5"/>
                <c:pt idx="0">
                  <c:v>农业</c:v>
                </c:pt>
                <c:pt idx="1">
                  <c:v>林业</c:v>
                </c:pt>
                <c:pt idx="2">
                  <c:v>牧业</c:v>
                </c:pt>
                <c:pt idx="3">
                  <c:v>渔业</c:v>
                </c:pt>
                <c:pt idx="4">
                  <c:v>农林牧渔服务业</c:v>
                </c:pt>
              </c:strCache>
            </c:strRef>
          </c:cat>
          <c:val>
            <c:numRef>
              <c:f>Sheet1!$C$23:$C$27</c:f>
              <c:numCache>
                <c:formatCode>0.00%</c:formatCode>
                <c:ptCount val="5"/>
                <c:pt idx="0">
                  <c:v>0.37991880778004561</c:v>
                </c:pt>
                <c:pt idx="1">
                  <c:v>0.26296674270620723</c:v>
                </c:pt>
                <c:pt idx="2">
                  <c:v>0.30872928923039983</c:v>
                </c:pt>
                <c:pt idx="3">
                  <c:v>2.2324108536438948E-2</c:v>
                </c:pt>
                <c:pt idx="4">
                  <c:v>2.6061051746908391E-2</c:v>
                </c:pt>
              </c:numCache>
            </c:numRef>
          </c:val>
          <c:extLst>
            <c:ext xmlns:c16="http://schemas.microsoft.com/office/drawing/2014/chart" uri="{C3380CC4-5D6E-409C-BE32-E72D297353CC}">
              <c16:uniqueId val="{0000000A-804F-4EE2-B40C-E8B022913BDF}"/>
            </c:ext>
          </c:extLst>
        </c:ser>
        <c:dLbls>
          <c:showLegendKey val="0"/>
          <c:showVal val="0"/>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宋体" panose="02010600030101010101" pitchFamily="2" charset="-122"/>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Sheet1!$B$1</c:f>
              <c:strCache>
                <c:ptCount val="1"/>
                <c:pt idx="0">
                  <c:v>产量</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9CE-439D-9F6A-DBE2FE0E136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9CE-439D-9F6A-DBE2FE0E136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9CE-439D-9F6A-DBE2FE0E136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9CE-439D-9F6A-DBE2FE0E136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9CE-439D-9F6A-DBE2FE0E1361}"/>
              </c:ext>
            </c:extLst>
          </c:dPt>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Times New Roman" panose="02020603050405020304" pitchFamily="18" charset="0"/>
                    <a:ea typeface="宋体" panose="02010600030101010101" pitchFamily="2" charset="-122"/>
                    <a:cs typeface="+mn-cs"/>
                  </a:defRPr>
                </a:pPr>
                <a:endParaRPr lang="zh-CN"/>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Sheet1!$A$14:$A$18</c:f>
              <c:strCache>
                <c:ptCount val="5"/>
                <c:pt idx="0">
                  <c:v>粮食</c:v>
                </c:pt>
                <c:pt idx="1">
                  <c:v>蔬菜</c:v>
                </c:pt>
                <c:pt idx="2">
                  <c:v>茶叶</c:v>
                </c:pt>
                <c:pt idx="3">
                  <c:v>水果</c:v>
                </c:pt>
                <c:pt idx="4">
                  <c:v>肉类总产量</c:v>
                </c:pt>
              </c:strCache>
            </c:strRef>
          </c:cat>
          <c:val>
            <c:numRef>
              <c:f>Sheet1!$C$14:$C$18</c:f>
              <c:numCache>
                <c:formatCode>0.00%</c:formatCode>
                <c:ptCount val="5"/>
                <c:pt idx="0">
                  <c:v>0.49292628876002992</c:v>
                </c:pt>
                <c:pt idx="1">
                  <c:v>9.3647463684658747E-2</c:v>
                </c:pt>
                <c:pt idx="2">
                  <c:v>0.10513623634428568</c:v>
                </c:pt>
                <c:pt idx="3">
                  <c:v>0.24458760409028732</c:v>
                </c:pt>
                <c:pt idx="4">
                  <c:v>6.3702407120738269E-2</c:v>
                </c:pt>
              </c:numCache>
            </c:numRef>
          </c:val>
          <c:extLst>
            <c:ext xmlns:c16="http://schemas.microsoft.com/office/drawing/2014/chart" uri="{C3380CC4-5D6E-409C-BE32-E72D297353CC}">
              <c16:uniqueId val="{0000000A-09CE-439D-9F6A-DBE2FE0E1361}"/>
            </c:ext>
          </c:extLst>
        </c:ser>
        <c:ser>
          <c:idx val="1"/>
          <c:order val="1"/>
          <c:tx>
            <c:strRef>
              <c:f>Sheet1!$C$1</c:f>
              <c:strCache>
                <c:ptCount val="1"/>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C-09CE-439D-9F6A-DBE2FE0E136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E-09CE-439D-9F6A-DBE2FE0E136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0-09CE-439D-9F6A-DBE2FE0E136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2-09CE-439D-9F6A-DBE2FE0E136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4-09CE-439D-9F6A-DBE2FE0E1361}"/>
              </c:ext>
            </c:extLst>
          </c:dPt>
          <c:cat>
            <c:strRef>
              <c:f>Sheet1!$A$14:$A$18</c:f>
              <c:strCache>
                <c:ptCount val="5"/>
                <c:pt idx="0">
                  <c:v>粮食</c:v>
                </c:pt>
                <c:pt idx="1">
                  <c:v>蔬菜</c:v>
                </c:pt>
                <c:pt idx="2">
                  <c:v>茶叶</c:v>
                </c:pt>
                <c:pt idx="3">
                  <c:v>水果</c:v>
                </c:pt>
                <c:pt idx="4">
                  <c:v>肉类总产量</c:v>
                </c:pt>
              </c:strCache>
            </c:strRef>
          </c:cat>
          <c:val>
            <c:numRef>
              <c:f>Sheet1!$C$14:$C$18</c:f>
              <c:numCache>
                <c:formatCode>0.00%</c:formatCode>
                <c:ptCount val="5"/>
                <c:pt idx="0">
                  <c:v>0.49292628876002992</c:v>
                </c:pt>
                <c:pt idx="1">
                  <c:v>9.3647463684658747E-2</c:v>
                </c:pt>
                <c:pt idx="2">
                  <c:v>0.10513623634428568</c:v>
                </c:pt>
                <c:pt idx="3">
                  <c:v>0.24458760409028732</c:v>
                </c:pt>
                <c:pt idx="4">
                  <c:v>6.3702407120738269E-2</c:v>
                </c:pt>
              </c:numCache>
            </c:numRef>
          </c:val>
          <c:extLst>
            <c:ext xmlns:c16="http://schemas.microsoft.com/office/drawing/2014/chart" uri="{C3380CC4-5D6E-409C-BE32-E72D297353CC}">
              <c16:uniqueId val="{00000015-09CE-439D-9F6A-DBE2FE0E1361}"/>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宋体" panose="02010600030101010101" pitchFamily="2" charset="-122"/>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baseline="0">
          <a:latin typeface="Times New Roman" panose="02020603050405020304" pitchFamily="18" charset="0"/>
          <a:ea typeface="宋体" panose="02010600030101010101" pitchFamily="2" charset="-122"/>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htt</b:Tag>
    <b:SourceType>InternetSite</b:SourceType>
    <b:Guid>{B79C4D4D-BC20-470E-AB46-1F6AB4EDC024}</b:Guid>
    <b:URL>http://www.gov.cn/zhuanti/2017-10/27/content_5234876.htm</b:URL>
    <b:RefOrder>1</b:RefOrder>
  </b:Source>
</b:Sources>
</file>

<file path=customXml/itemProps1.xml><?xml version="1.0" encoding="utf-8"?>
<ds:datastoreItem xmlns:ds="http://schemas.openxmlformats.org/officeDocument/2006/customXml" ds:itemID="{FEEBDC11-1D8B-4DF6-869A-5D6AFC775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1996</TotalTime>
  <Pages>19</Pages>
  <Words>2123</Words>
  <Characters>12103</Characters>
  <Application>Microsoft Office Word</Application>
  <DocSecurity>0</DocSecurity>
  <Lines>100</Lines>
  <Paragraphs>28</Paragraphs>
  <ScaleCrop>false</ScaleCrop>
  <Company/>
  <LinksUpToDate>false</LinksUpToDate>
  <CharactersWithSpaces>14198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Dongliang</dc:creator>
  <cp:keywords/>
  <dc:description/>
  <cp:lastModifiedBy>Wang Dongliang</cp:lastModifiedBy>
  <cp:revision>566</cp:revision>
  <cp:lastPrinted>2022-08-22T13:23:00Z</cp:lastPrinted>
  <dcterms:created xsi:type="dcterms:W3CDTF">2022-08-12T01:46:00Z</dcterms:created>
  <dcterms:modified xsi:type="dcterms:W3CDTF">2022-09-01T01:09:00Z</dcterms:modified>
</cp:coreProperties>
</file>